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0BF" w:rsidRDefault="00136814">
      <w:pPr>
        <w:pStyle w:val="BodyText"/>
        <w:ind w:left="110"/>
        <w:rPr>
          <w:rFonts w:ascii="Times New Roman"/>
          <w:sz w:val="20"/>
        </w:rPr>
      </w:pPr>
      <w:bookmarkStart w:id="0" w:name="_GoBack"/>
      <w:bookmarkEnd w:id="0"/>
      <w:r>
        <w:rPr>
          <w:rFonts w:ascii="Times New Roman"/>
          <w:noProof/>
          <w:sz w:val="20"/>
        </w:rPr>
        <w:drawing>
          <wp:inline distT="0" distB="0" distL="0" distR="0">
            <wp:extent cx="6485297" cy="53949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485297" cy="539496"/>
                    </a:xfrm>
                    <a:prstGeom prst="rect">
                      <a:avLst/>
                    </a:prstGeom>
                  </pic:spPr>
                </pic:pic>
              </a:graphicData>
            </a:graphic>
          </wp:inline>
        </w:drawing>
      </w:r>
    </w:p>
    <w:p w:rsidR="005330BF" w:rsidRDefault="005330BF">
      <w:pPr>
        <w:pStyle w:val="BodyText"/>
        <w:ind w:left="0"/>
        <w:rPr>
          <w:rFonts w:ascii="Times New Roman"/>
          <w:sz w:val="20"/>
        </w:rPr>
      </w:pPr>
    </w:p>
    <w:p w:rsidR="005330BF" w:rsidRDefault="005330BF">
      <w:pPr>
        <w:pStyle w:val="BodyText"/>
        <w:ind w:left="0"/>
        <w:rPr>
          <w:rFonts w:ascii="Times New Roman"/>
          <w:sz w:val="20"/>
        </w:rPr>
      </w:pPr>
    </w:p>
    <w:p w:rsidR="005330BF" w:rsidRDefault="005330BF">
      <w:pPr>
        <w:pStyle w:val="BodyText"/>
        <w:ind w:left="0"/>
        <w:rPr>
          <w:rFonts w:ascii="Times New Roman"/>
          <w:sz w:val="20"/>
        </w:rPr>
      </w:pPr>
    </w:p>
    <w:p w:rsidR="005330BF" w:rsidRDefault="005330BF">
      <w:pPr>
        <w:pStyle w:val="BodyText"/>
        <w:ind w:left="0"/>
        <w:rPr>
          <w:rFonts w:ascii="Times New Roman"/>
          <w:sz w:val="20"/>
        </w:rPr>
      </w:pPr>
    </w:p>
    <w:p w:rsidR="005330BF" w:rsidRDefault="005330BF">
      <w:pPr>
        <w:pStyle w:val="BodyText"/>
        <w:ind w:left="0"/>
        <w:rPr>
          <w:rFonts w:ascii="Times New Roman"/>
          <w:sz w:val="20"/>
        </w:rPr>
      </w:pPr>
    </w:p>
    <w:p w:rsidR="005330BF" w:rsidRDefault="005330BF">
      <w:pPr>
        <w:pStyle w:val="BodyText"/>
        <w:ind w:left="0"/>
        <w:rPr>
          <w:rFonts w:ascii="Times New Roman"/>
          <w:sz w:val="20"/>
        </w:rPr>
      </w:pPr>
    </w:p>
    <w:p w:rsidR="005330BF" w:rsidRDefault="005330BF">
      <w:pPr>
        <w:pStyle w:val="BodyText"/>
        <w:spacing w:before="1"/>
        <w:ind w:left="0"/>
        <w:rPr>
          <w:rFonts w:ascii="Times New Roman"/>
          <w:sz w:val="20"/>
        </w:rPr>
      </w:pPr>
    </w:p>
    <w:p w:rsidR="005330BF" w:rsidRDefault="00136814">
      <w:pPr>
        <w:spacing w:before="82" w:line="244" w:lineRule="auto"/>
        <w:ind w:left="628" w:right="1225"/>
        <w:rPr>
          <w:rFonts w:ascii="Helvetica Neue"/>
          <w:b/>
          <w:sz w:val="60"/>
        </w:rPr>
      </w:pPr>
      <w:r>
        <w:rPr>
          <w:rFonts w:ascii="Helvetica Neue"/>
          <w:b/>
          <w:color w:val="414042"/>
          <w:sz w:val="60"/>
        </w:rPr>
        <w:t>The Health of Disability Support Pension and Newstart Allowance Recipients</w:t>
      </w:r>
    </w:p>
    <w:p w:rsidR="005330BF" w:rsidRDefault="005330BF">
      <w:pPr>
        <w:pStyle w:val="BodyText"/>
        <w:ind w:left="0"/>
        <w:rPr>
          <w:rFonts w:ascii="Helvetica Neue"/>
          <w:b/>
          <w:sz w:val="20"/>
        </w:rPr>
      </w:pPr>
    </w:p>
    <w:p w:rsidR="005330BF" w:rsidRDefault="00136814">
      <w:pPr>
        <w:pStyle w:val="BodyText"/>
        <w:spacing w:before="3"/>
        <w:ind w:left="0"/>
        <w:rPr>
          <w:rFonts w:ascii="Helvetica Neue"/>
          <w:b/>
          <w:sz w:val="29"/>
        </w:rPr>
      </w:pPr>
      <w:r>
        <w:rPr>
          <w:noProof/>
        </w:rPr>
        <mc:AlternateContent>
          <mc:Choice Requires="wps">
            <w:drawing>
              <wp:anchor distT="0" distB="0" distL="0" distR="0" simplePos="0" relativeHeight="251667456" behindDoc="1" locked="0" layoutInCell="1" allowOverlap="1">
                <wp:simplePos x="0" y="0"/>
                <wp:positionH relativeFrom="page">
                  <wp:posOffset>539750</wp:posOffset>
                </wp:positionH>
                <wp:positionV relativeFrom="paragraph">
                  <wp:posOffset>241935</wp:posOffset>
                </wp:positionV>
                <wp:extent cx="6480175" cy="5994400"/>
                <wp:effectExtent l="6350" t="1270" r="0" b="5080"/>
                <wp:wrapTopAndBottom/>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994400"/>
                        </a:xfrm>
                        <a:prstGeom prst="rect">
                          <a:avLst/>
                        </a:prstGeom>
                        <a:solidFill>
                          <a:srgbClr val="63B4B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5330BF">
                            <w:pPr>
                              <w:pStyle w:val="BodyText"/>
                              <w:spacing w:before="7"/>
                              <w:ind w:left="0"/>
                              <w:rPr>
                                <w:rFonts w:ascii="Helvetica Neue"/>
                                <w:b/>
                                <w:sz w:val="37"/>
                              </w:rPr>
                            </w:pPr>
                          </w:p>
                          <w:p w:rsidR="005330BF" w:rsidRDefault="00136814">
                            <w:pPr>
                              <w:ind w:left="638"/>
                              <w:rPr>
                                <w:b/>
                                <w:sz w:val="34"/>
                              </w:rPr>
                            </w:pPr>
                            <w:r>
                              <w:rPr>
                                <w:b/>
                                <w:color w:val="58595B"/>
                                <w:sz w:val="34"/>
                              </w:rPr>
                              <w:t>ANALYSIS OF NATIONAL HEALTH SURVEY DATA</w:t>
                            </w:r>
                          </w:p>
                          <w:p w:rsidR="005330BF" w:rsidRDefault="00136814">
                            <w:pPr>
                              <w:spacing w:before="203"/>
                              <w:ind w:left="638"/>
                              <w:rPr>
                                <w:b/>
                                <w:sz w:val="28"/>
                              </w:rPr>
                            </w:pPr>
                            <w:r>
                              <w:rPr>
                                <w:b/>
                                <w:color w:val="3B4D96"/>
                                <w:sz w:val="28"/>
                              </w:rPr>
                              <w:t>Professor Alex Collie, Mr Luke Sheehan, Dr Ashley Mcallister</w:t>
                            </w: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31"/>
                              </w:rPr>
                            </w:pPr>
                          </w:p>
                          <w:p w:rsidR="005330BF" w:rsidRDefault="00136814">
                            <w:pPr>
                              <w:ind w:left="4701"/>
                              <w:rPr>
                                <w:rFonts w:ascii="Helvetica Neue"/>
                                <w:b/>
                                <w:sz w:val="60"/>
                              </w:rPr>
                            </w:pPr>
                            <w:r>
                              <w:rPr>
                                <w:rFonts w:ascii="Helvetica Neue"/>
                                <w:b/>
                                <w:color w:val="58595B"/>
                                <w:sz w:val="60"/>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2.5pt;margin-top:19.05pt;width:510.25pt;height:47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" fillcolor="#63b4bb" stroked="f">
                <v:fill opacity="13107f"/>
                <v:textbox inset="0,0,0,0">
                  <w:txbxContent>
                    <w:p w:rsidR="005330BF" w:rsidRDefault="005330BF">
                      <w:pPr>
                        <w:pStyle w:val="BodyText"/>
                        <w:spacing w:before="7"/>
                        <w:ind w:left="0"/>
                        <w:rPr>
                          <w:rFonts w:ascii="Helvetica Neue"/>
                          <w:b/>
                          <w:sz w:val="37"/>
                        </w:rPr>
                      </w:pPr>
                    </w:p>
                    <w:p w:rsidR="005330BF" w:rsidRDefault="00136814">
                      <w:pPr>
                        <w:ind w:left="638"/>
                        <w:rPr>
                          <w:b/>
                          <w:sz w:val="34"/>
                        </w:rPr>
                      </w:pPr>
                      <w:r>
                        <w:rPr>
                          <w:b/>
                          <w:color w:val="58595B"/>
                          <w:sz w:val="34"/>
                        </w:rPr>
                        <w:t>ANALYSIS OF NATIONAL HEALTH SURVEY DATA</w:t>
                      </w:r>
                    </w:p>
                    <w:p w:rsidR="005330BF" w:rsidRDefault="00136814">
                      <w:pPr>
                        <w:spacing w:before="203"/>
                        <w:ind w:left="638"/>
                        <w:rPr>
                          <w:b/>
                          <w:sz w:val="28"/>
                        </w:rPr>
                      </w:pPr>
                      <w:r>
                        <w:rPr>
                          <w:b/>
                          <w:color w:val="3B4D96"/>
                          <w:sz w:val="28"/>
                        </w:rPr>
                        <w:t>Professor Alex Collie, Mr Luke Sheehan, Dr Ashley Mcallister</w:t>
                      </w: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28"/>
                        </w:rPr>
                      </w:pPr>
                    </w:p>
                    <w:p w:rsidR="005330BF" w:rsidRDefault="005330BF">
                      <w:pPr>
                        <w:pStyle w:val="BodyText"/>
                        <w:ind w:left="0"/>
                        <w:rPr>
                          <w:rFonts w:ascii="Helvetica Neue"/>
                          <w:b/>
                          <w:sz w:val="31"/>
                        </w:rPr>
                      </w:pPr>
                    </w:p>
                    <w:p w:rsidR="005330BF" w:rsidRDefault="00136814">
                      <w:pPr>
                        <w:ind w:left="4701"/>
                        <w:rPr>
                          <w:rFonts w:ascii="Helvetica Neue"/>
                          <w:b/>
                          <w:sz w:val="60"/>
                        </w:rPr>
                      </w:pPr>
                      <w:r>
                        <w:rPr>
                          <w:rFonts w:ascii="Helvetica Neue"/>
                          <w:b/>
                          <w:color w:val="58595B"/>
                          <w:sz w:val="60"/>
                        </w:rPr>
                        <w:t>September 2019</w:t>
                      </w:r>
                    </w:p>
                  </w:txbxContent>
                </v:textbox>
                <w10:wrap type="topAndBottom" anchorx="page"/>
              </v:shape>
            </w:pict>
          </mc:Fallback>
        </mc:AlternateContent>
      </w:r>
    </w:p>
    <w:p w:rsidR="005330BF" w:rsidRDefault="005330BF">
      <w:pPr>
        <w:rPr>
          <w:rFonts w:ascii="Helvetica Neue"/>
          <w:sz w:val="29"/>
        </w:rPr>
        <w:sectPr w:rsidR="005330BF">
          <w:type w:val="continuous"/>
          <w:pgSz w:w="11910" w:h="16840"/>
          <w:pgMar w:top="1120" w:right="540" w:bottom="280" w:left="740" w:header="720" w:footer="720" w:gutter="0"/>
          <w:cols w:space="720"/>
        </w:sectPr>
      </w:pPr>
    </w:p>
    <w:p w:rsidR="005330BF" w:rsidRDefault="00136814">
      <w:pPr>
        <w:spacing w:before="53"/>
        <w:ind w:left="110"/>
        <w:rPr>
          <w:rFonts w:ascii="Helvetica Neue"/>
          <w:b/>
          <w:sz w:val="60"/>
        </w:rPr>
      </w:pPr>
      <w:r>
        <w:rPr>
          <w:rFonts w:ascii="Helvetica Neue"/>
          <w:b/>
          <w:color w:val="58595B"/>
          <w:sz w:val="60"/>
        </w:rPr>
        <w:lastRenderedPageBreak/>
        <w:t>Contents</w:t>
      </w:r>
    </w:p>
    <w:sdt>
      <w:sdtPr>
        <w:id w:val="543799791"/>
        <w:docPartObj>
          <w:docPartGallery w:val="Table of Contents"/>
          <w:docPartUnique/>
        </w:docPartObj>
      </w:sdtPr>
      <w:sdtEndPr/>
      <w:sdtContent>
        <w:p w:rsidR="005330BF" w:rsidRDefault="00136814">
          <w:pPr>
            <w:pStyle w:val="TOC1"/>
            <w:tabs>
              <w:tab w:val="right" w:pos="8872"/>
            </w:tabs>
            <w:spacing w:before="559"/>
            <w:rPr>
              <w:b/>
            </w:rPr>
          </w:pPr>
          <w:hyperlink w:anchor="_bookmark0" w:history="1">
            <w:r>
              <w:t>Study</w:t>
            </w:r>
            <w:r>
              <w:rPr>
                <w:spacing w:val="-1"/>
              </w:rPr>
              <w:t xml:space="preserve"> </w:t>
            </w:r>
            <w:r>
              <w:t>Highlights</w:t>
            </w:r>
            <w:r>
              <w:tab/>
            </w:r>
            <w:r>
              <w:rPr>
                <w:b/>
              </w:rPr>
              <w:t>6</w:t>
            </w:r>
          </w:hyperlink>
        </w:p>
        <w:p w:rsidR="005330BF" w:rsidRDefault="00136814">
          <w:pPr>
            <w:pStyle w:val="TOC1"/>
            <w:tabs>
              <w:tab w:val="right" w:pos="8872"/>
            </w:tabs>
            <w:rPr>
              <w:b/>
            </w:rPr>
          </w:pPr>
          <w:hyperlink w:anchor="_bookmark1" w:history="1">
            <w:r>
              <w:t>Executive Summary</w:t>
            </w:r>
            <w:r>
              <w:tab/>
            </w:r>
            <w:r>
              <w:rPr>
                <w:b/>
              </w:rPr>
              <w:t>7</w:t>
            </w:r>
          </w:hyperlink>
        </w:p>
        <w:p w:rsidR="005330BF" w:rsidRDefault="00136814">
          <w:pPr>
            <w:pStyle w:val="TOC1"/>
            <w:tabs>
              <w:tab w:val="right" w:pos="8970"/>
            </w:tabs>
            <w:rPr>
              <w:b/>
            </w:rPr>
          </w:pPr>
          <w:hyperlink w:anchor="_bookmark2" w:history="1">
            <w:r>
              <w:t>Introduction</w:t>
            </w:r>
            <w:r>
              <w:tab/>
            </w:r>
            <w:r>
              <w:rPr>
                <w:b/>
                <w:spacing w:val="-13"/>
              </w:rPr>
              <w:t>11</w:t>
            </w:r>
          </w:hyperlink>
        </w:p>
        <w:p w:rsidR="005330BF" w:rsidRDefault="00136814">
          <w:pPr>
            <w:pStyle w:val="TOC1"/>
            <w:tabs>
              <w:tab w:val="right" w:pos="8994"/>
            </w:tabs>
            <w:spacing w:before="187"/>
            <w:rPr>
              <w:b/>
            </w:rPr>
          </w:pPr>
          <w:hyperlink w:anchor="_bookmark4" w:history="1">
            <w:r>
              <w:t>Study</w:t>
            </w:r>
            <w:r>
              <w:rPr>
                <w:spacing w:val="-1"/>
              </w:rPr>
              <w:t xml:space="preserve"> </w:t>
            </w:r>
            <w:r>
              <w:t>Objectives</w:t>
            </w:r>
            <w:r>
              <w:tab/>
            </w:r>
            <w:r>
              <w:rPr>
                <w:b/>
              </w:rPr>
              <w:t>13</w:t>
            </w:r>
          </w:hyperlink>
        </w:p>
        <w:p w:rsidR="005330BF" w:rsidRDefault="00136814">
          <w:pPr>
            <w:pStyle w:val="TOC1"/>
            <w:tabs>
              <w:tab w:val="right" w:pos="8994"/>
            </w:tabs>
            <w:rPr>
              <w:b/>
            </w:rPr>
          </w:pPr>
          <w:hyperlink w:anchor="_bookmark4" w:history="1">
            <w:r>
              <w:t>Methodology</w:t>
            </w:r>
            <w:r>
              <w:tab/>
            </w:r>
            <w:r>
              <w:rPr>
                <w:b/>
              </w:rPr>
              <w:t>13</w:t>
            </w:r>
          </w:hyperlink>
        </w:p>
        <w:p w:rsidR="005330BF" w:rsidRDefault="00136814">
          <w:pPr>
            <w:pStyle w:val="TOC2"/>
            <w:tabs>
              <w:tab w:val="right" w:pos="8994"/>
            </w:tabs>
            <w:rPr>
              <w:b/>
              <w:i w:val="0"/>
            </w:rPr>
          </w:pPr>
          <w:hyperlink w:anchor="_bookmark4" w:history="1">
            <w:r>
              <w:t>National</w:t>
            </w:r>
            <w:r>
              <w:rPr>
                <w:spacing w:val="-1"/>
              </w:rPr>
              <w:t xml:space="preserve"> </w:t>
            </w:r>
            <w:r>
              <w:t>Health Survey</w:t>
            </w:r>
            <w:r>
              <w:tab/>
            </w:r>
            <w:r>
              <w:rPr>
                <w:b/>
                <w:i w:val="0"/>
              </w:rPr>
              <w:t>13</w:t>
            </w:r>
          </w:hyperlink>
        </w:p>
        <w:p w:rsidR="005330BF" w:rsidRDefault="00136814">
          <w:pPr>
            <w:pStyle w:val="TOC2"/>
            <w:tabs>
              <w:tab w:val="right" w:pos="8994"/>
            </w:tabs>
            <w:rPr>
              <w:b/>
              <w:i w:val="0"/>
            </w:rPr>
          </w:pPr>
          <w:hyperlink w:anchor="_bookmark5" w:history="1">
            <w:r>
              <w:t>Study</w:t>
            </w:r>
            <w:r>
              <w:rPr>
                <w:spacing w:val="-1"/>
              </w:rPr>
              <w:t xml:space="preserve"> </w:t>
            </w:r>
            <w:r>
              <w:t>Groups</w:t>
            </w:r>
            <w:r>
              <w:tab/>
            </w:r>
            <w:r>
              <w:rPr>
                <w:b/>
                <w:i w:val="0"/>
              </w:rPr>
              <w:t>14</w:t>
            </w:r>
          </w:hyperlink>
        </w:p>
        <w:p w:rsidR="005330BF" w:rsidRDefault="00136814">
          <w:pPr>
            <w:pStyle w:val="TOC2"/>
            <w:tabs>
              <w:tab w:val="right" w:pos="8994"/>
            </w:tabs>
            <w:spacing w:before="187"/>
            <w:rPr>
              <w:b/>
              <w:i w:val="0"/>
            </w:rPr>
          </w:pPr>
          <w:hyperlink w:anchor="_bookmark5" w:history="1">
            <w:r>
              <w:t>Self-Assessed</w:t>
            </w:r>
            <w:r>
              <w:rPr>
                <w:spacing w:val="-1"/>
              </w:rPr>
              <w:t xml:space="preserve"> </w:t>
            </w:r>
            <w:r>
              <w:t>Health</w:t>
            </w:r>
            <w:r>
              <w:tab/>
            </w:r>
            <w:r>
              <w:rPr>
                <w:b/>
                <w:i w:val="0"/>
              </w:rPr>
              <w:t>14</w:t>
            </w:r>
          </w:hyperlink>
        </w:p>
        <w:p w:rsidR="005330BF" w:rsidRDefault="00136814">
          <w:pPr>
            <w:pStyle w:val="TOC2"/>
            <w:tabs>
              <w:tab w:val="right" w:pos="8994"/>
            </w:tabs>
            <w:rPr>
              <w:b/>
              <w:i w:val="0"/>
            </w:rPr>
          </w:pPr>
          <w:hyperlink w:anchor="_bookmark5" w:history="1">
            <w:r>
              <w:t>Health</w:t>
            </w:r>
            <w:r>
              <w:rPr>
                <w:spacing w:val="-1"/>
              </w:rPr>
              <w:t xml:space="preserve"> </w:t>
            </w:r>
            <w:r>
              <w:t>Conditions</w:t>
            </w:r>
            <w:r>
              <w:tab/>
            </w:r>
            <w:r>
              <w:rPr>
                <w:b/>
                <w:i w:val="0"/>
              </w:rPr>
              <w:t>14</w:t>
            </w:r>
          </w:hyperlink>
        </w:p>
        <w:p w:rsidR="005330BF" w:rsidRDefault="00136814">
          <w:pPr>
            <w:pStyle w:val="TOC2"/>
            <w:tabs>
              <w:tab w:val="right" w:pos="8994"/>
            </w:tabs>
            <w:rPr>
              <w:b/>
              <w:i w:val="0"/>
            </w:rPr>
          </w:pPr>
          <w:hyperlink w:anchor="_bookmark6" w:history="1">
            <w:r>
              <w:t>Health</w:t>
            </w:r>
            <w:r>
              <w:rPr>
                <w:spacing w:val="-1"/>
              </w:rPr>
              <w:t xml:space="preserve"> </w:t>
            </w:r>
            <w:r>
              <w:t>Service Use</w:t>
            </w:r>
            <w:r>
              <w:tab/>
            </w:r>
            <w:r>
              <w:rPr>
                <w:b/>
                <w:i w:val="0"/>
              </w:rPr>
              <w:t>15</w:t>
            </w:r>
          </w:hyperlink>
        </w:p>
        <w:p w:rsidR="005330BF" w:rsidRDefault="00136814">
          <w:pPr>
            <w:pStyle w:val="TOC2"/>
            <w:tabs>
              <w:tab w:val="right" w:pos="8994"/>
            </w:tabs>
            <w:rPr>
              <w:b/>
              <w:i w:val="0"/>
            </w:rPr>
          </w:pPr>
          <w:hyperlink w:anchor="_bookmark6" w:history="1">
            <w:r>
              <w:t>Medication &amp;</w:t>
            </w:r>
            <w:r>
              <w:rPr>
                <w:spacing w:val="-1"/>
              </w:rPr>
              <w:t xml:space="preserve"> </w:t>
            </w:r>
            <w:r>
              <w:t>Supplement Use</w:t>
            </w:r>
            <w:r>
              <w:tab/>
            </w:r>
            <w:r>
              <w:rPr>
                <w:b/>
                <w:i w:val="0"/>
              </w:rPr>
              <w:t>15</w:t>
            </w:r>
          </w:hyperlink>
        </w:p>
        <w:p w:rsidR="005330BF" w:rsidRDefault="00136814">
          <w:pPr>
            <w:pStyle w:val="TOC2"/>
            <w:tabs>
              <w:tab w:val="right" w:pos="8994"/>
            </w:tabs>
            <w:rPr>
              <w:b/>
              <w:i w:val="0"/>
            </w:rPr>
          </w:pPr>
          <w:hyperlink w:anchor="_bookmark7" w:history="1">
            <w:r>
              <w:t>Statistical</w:t>
            </w:r>
            <w:r>
              <w:rPr>
                <w:spacing w:val="-13"/>
              </w:rPr>
              <w:t xml:space="preserve"> </w:t>
            </w:r>
            <w:r>
              <w:t>Analyses</w:t>
            </w:r>
            <w:r>
              <w:tab/>
            </w:r>
            <w:r>
              <w:rPr>
                <w:b/>
                <w:i w:val="0"/>
              </w:rPr>
              <w:t>16</w:t>
            </w:r>
          </w:hyperlink>
        </w:p>
        <w:p w:rsidR="005330BF" w:rsidRDefault="00136814">
          <w:pPr>
            <w:pStyle w:val="TOC1"/>
            <w:tabs>
              <w:tab w:val="right" w:pos="8994"/>
            </w:tabs>
            <w:spacing w:before="187"/>
            <w:rPr>
              <w:b/>
            </w:rPr>
          </w:pPr>
          <w:hyperlink w:anchor="_bookmark8" w:history="1">
            <w:r>
              <w:t>Results</w:t>
            </w:r>
            <w:r>
              <w:tab/>
            </w:r>
            <w:r>
              <w:rPr>
                <w:b/>
              </w:rPr>
              <w:t>18</w:t>
            </w:r>
          </w:hyperlink>
        </w:p>
        <w:p w:rsidR="005330BF" w:rsidRDefault="00136814">
          <w:pPr>
            <w:pStyle w:val="TOC2"/>
            <w:tabs>
              <w:tab w:val="right" w:pos="8994"/>
            </w:tabs>
            <w:rPr>
              <w:b/>
              <w:i w:val="0"/>
            </w:rPr>
          </w:pPr>
          <w:hyperlink w:anchor="_bookmark8" w:history="1">
            <w:r>
              <w:t>Characteristics of</w:t>
            </w:r>
            <w:r>
              <w:rPr>
                <w:spacing w:val="-2"/>
              </w:rPr>
              <w:t xml:space="preserve"> </w:t>
            </w:r>
            <w:r>
              <w:t>Study Groups</w:t>
            </w:r>
            <w:r>
              <w:tab/>
            </w:r>
            <w:r>
              <w:rPr>
                <w:b/>
                <w:i w:val="0"/>
              </w:rPr>
              <w:t>18</w:t>
            </w:r>
          </w:hyperlink>
        </w:p>
        <w:p w:rsidR="005330BF" w:rsidRDefault="00136814">
          <w:pPr>
            <w:pStyle w:val="TOC2"/>
            <w:tabs>
              <w:tab w:val="right" w:pos="8994"/>
            </w:tabs>
            <w:rPr>
              <w:b/>
              <w:i w:val="0"/>
            </w:rPr>
          </w:pPr>
          <w:hyperlink w:anchor="_bookmark11" w:history="1">
            <w:r>
              <w:t>Self-Assessed</w:t>
            </w:r>
            <w:r>
              <w:rPr>
                <w:spacing w:val="-1"/>
              </w:rPr>
              <w:t xml:space="preserve"> </w:t>
            </w:r>
            <w:r>
              <w:t>Health</w:t>
            </w:r>
            <w:r>
              <w:tab/>
            </w:r>
            <w:r>
              <w:rPr>
                <w:b/>
                <w:i w:val="0"/>
              </w:rPr>
              <w:t>21</w:t>
            </w:r>
          </w:hyperlink>
        </w:p>
        <w:p w:rsidR="005330BF" w:rsidRDefault="00136814">
          <w:pPr>
            <w:pStyle w:val="TOC2"/>
            <w:tabs>
              <w:tab w:val="right" w:pos="8994"/>
            </w:tabs>
            <w:rPr>
              <w:b/>
              <w:i w:val="0"/>
            </w:rPr>
          </w:pPr>
          <w:hyperlink w:anchor="_bookmark13" w:history="1">
            <w:r>
              <w:t>Health</w:t>
            </w:r>
            <w:r>
              <w:rPr>
                <w:spacing w:val="-1"/>
              </w:rPr>
              <w:t xml:space="preserve"> </w:t>
            </w:r>
            <w:r>
              <w:t>Conditions</w:t>
            </w:r>
            <w:r>
              <w:tab/>
            </w:r>
            <w:r>
              <w:rPr>
                <w:b/>
                <w:i w:val="0"/>
              </w:rPr>
              <w:t>22</w:t>
            </w:r>
          </w:hyperlink>
        </w:p>
        <w:p w:rsidR="005330BF" w:rsidRDefault="00136814">
          <w:pPr>
            <w:pStyle w:val="TOC2"/>
            <w:tabs>
              <w:tab w:val="right" w:pos="8994"/>
            </w:tabs>
            <w:spacing w:before="187"/>
            <w:rPr>
              <w:b/>
              <w:i w:val="0"/>
            </w:rPr>
          </w:pPr>
          <w:hyperlink w:anchor="_bookmark29" w:history="1">
            <w:r>
              <w:t>Health</w:t>
            </w:r>
            <w:r>
              <w:rPr>
                <w:spacing w:val="-1"/>
              </w:rPr>
              <w:t xml:space="preserve"> </w:t>
            </w:r>
            <w:r>
              <w:t>Service Use</w:t>
            </w:r>
            <w:r>
              <w:tab/>
            </w:r>
            <w:r>
              <w:rPr>
                <w:b/>
                <w:i w:val="0"/>
              </w:rPr>
              <w:t>30</w:t>
            </w:r>
          </w:hyperlink>
        </w:p>
        <w:p w:rsidR="005330BF" w:rsidRDefault="00136814">
          <w:pPr>
            <w:pStyle w:val="TOC2"/>
            <w:tabs>
              <w:tab w:val="right" w:pos="8994"/>
            </w:tabs>
            <w:rPr>
              <w:b/>
              <w:i w:val="0"/>
            </w:rPr>
          </w:pPr>
          <w:hyperlink w:anchor="_bookmark39" w:history="1">
            <w:r>
              <w:t>Medication &amp;</w:t>
            </w:r>
            <w:r>
              <w:rPr>
                <w:spacing w:val="-1"/>
              </w:rPr>
              <w:t xml:space="preserve"> </w:t>
            </w:r>
            <w:r>
              <w:t>Supplement Use</w:t>
            </w:r>
            <w:r>
              <w:tab/>
            </w:r>
            <w:r>
              <w:rPr>
                <w:b/>
                <w:i w:val="0"/>
              </w:rPr>
              <w:t>37</w:t>
            </w:r>
          </w:hyperlink>
        </w:p>
        <w:p w:rsidR="005330BF" w:rsidRDefault="00136814">
          <w:pPr>
            <w:pStyle w:val="TOC1"/>
            <w:tabs>
              <w:tab w:val="right" w:pos="8994"/>
            </w:tabs>
            <w:rPr>
              <w:b/>
            </w:rPr>
          </w:pPr>
          <w:hyperlink w:anchor="_bookmark49" w:history="1">
            <w:r>
              <w:t>Strengths</w:t>
            </w:r>
            <w:r>
              <w:rPr>
                <w:spacing w:val="-1"/>
              </w:rPr>
              <w:t xml:space="preserve"> </w:t>
            </w:r>
            <w:r>
              <w:t>&amp; Limitations</w:t>
            </w:r>
            <w:r>
              <w:tab/>
            </w:r>
            <w:r>
              <w:rPr>
                <w:b/>
              </w:rPr>
              <w:t>42</w:t>
            </w:r>
          </w:hyperlink>
        </w:p>
        <w:p w:rsidR="005330BF" w:rsidRDefault="00136814">
          <w:pPr>
            <w:pStyle w:val="TOC1"/>
            <w:tabs>
              <w:tab w:val="right" w:pos="8994"/>
            </w:tabs>
            <w:rPr>
              <w:b/>
            </w:rPr>
          </w:pPr>
          <w:hyperlink w:anchor="_bookmark50" w:history="1">
            <w:r>
              <w:t>Summary</w:t>
            </w:r>
            <w:r>
              <w:rPr>
                <w:spacing w:val="-1"/>
              </w:rPr>
              <w:t xml:space="preserve"> </w:t>
            </w:r>
            <w:r>
              <w:t>&amp; Conclusions</w:t>
            </w:r>
            <w:r>
              <w:tab/>
            </w:r>
            <w:r>
              <w:rPr>
                <w:b/>
              </w:rPr>
              <w:t>43</w:t>
            </w:r>
          </w:hyperlink>
        </w:p>
        <w:p w:rsidR="005330BF" w:rsidRDefault="00136814">
          <w:pPr>
            <w:pStyle w:val="TOC1"/>
            <w:tabs>
              <w:tab w:val="right" w:pos="8994"/>
            </w:tabs>
            <w:rPr>
              <w:b/>
            </w:rPr>
          </w:pPr>
          <w:hyperlink w:anchor="_bookmark53" w:history="1">
            <w:r>
              <w:t>References</w:t>
            </w:r>
            <w:r>
              <w:tab/>
            </w:r>
            <w:r>
              <w:rPr>
                <w:b/>
              </w:rPr>
              <w:t>46</w:t>
            </w:r>
          </w:hyperlink>
        </w:p>
        <w:p w:rsidR="005330BF" w:rsidRDefault="00136814">
          <w:pPr>
            <w:pStyle w:val="TOC1"/>
            <w:tabs>
              <w:tab w:val="right" w:pos="8994"/>
            </w:tabs>
            <w:spacing w:before="187"/>
            <w:rPr>
              <w:b/>
            </w:rPr>
          </w:pPr>
          <w:hyperlink w:anchor="_bookmark57" w:history="1">
            <w:r>
              <w:t>Appendix</w:t>
            </w:r>
            <w:r>
              <w:tab/>
            </w:r>
            <w:r>
              <w:rPr>
                <w:b/>
              </w:rPr>
              <w:t>48</w:t>
            </w:r>
          </w:hyperlink>
        </w:p>
      </w:sdtContent>
    </w:sdt>
    <w:p w:rsidR="005330BF" w:rsidRDefault="005330BF">
      <w:pPr>
        <w:sectPr w:rsidR="005330BF">
          <w:footerReference w:type="default" r:id="rId8"/>
          <w:pgSz w:w="11910" w:h="16840"/>
          <w:pgMar w:top="1060" w:right="540" w:bottom="480" w:left="740" w:header="0" w:footer="290" w:gutter="0"/>
          <w:pgNumType w:start="2"/>
          <w:cols w:space="720"/>
        </w:sectPr>
      </w:pPr>
    </w:p>
    <w:p w:rsidR="005330BF" w:rsidRDefault="00136814">
      <w:pPr>
        <w:spacing w:before="53"/>
        <w:ind w:left="110"/>
        <w:rPr>
          <w:rFonts w:ascii="Helvetica Neue"/>
          <w:b/>
          <w:sz w:val="60"/>
        </w:rPr>
      </w:pPr>
      <w:r>
        <w:rPr>
          <w:rFonts w:ascii="Helvetica Neue"/>
          <w:b/>
          <w:color w:val="58595B"/>
          <w:sz w:val="60"/>
        </w:rPr>
        <w:lastRenderedPageBreak/>
        <w:t>Figures</w:t>
      </w:r>
    </w:p>
    <w:p w:rsidR="005330BF" w:rsidRDefault="00136814">
      <w:pPr>
        <w:pStyle w:val="BodyText"/>
        <w:spacing w:before="559"/>
        <w:ind w:left="110"/>
      </w:pPr>
      <w:hyperlink w:anchor="_bookmark13" w:history="1">
        <w:r>
          <w:rPr>
            <w:b/>
          </w:rPr>
          <w:t>Figure 1</w:t>
        </w:r>
        <w:r>
          <w:t>. Age and sex adjusted risk ratios for DSP and NSA recipients</w:t>
        </w:r>
      </w:hyperlink>
    </w:p>
    <w:p w:rsidR="005330BF" w:rsidRDefault="00136814">
      <w:pPr>
        <w:pStyle w:val="BodyText"/>
        <w:tabs>
          <w:tab w:val="left" w:pos="8750"/>
        </w:tabs>
        <w:spacing w:before="38"/>
        <w:ind w:left="110"/>
        <w:rPr>
          <w:b/>
        </w:rPr>
      </w:pPr>
      <w:hyperlink w:anchor="_bookmark13" w:history="1">
        <w:r>
          <w:t>rating thei</w:t>
        </w:r>
        <w:r>
          <w:t>r health in</w:t>
        </w:r>
        <w:r>
          <w:rPr>
            <w:spacing w:val="-6"/>
          </w:rPr>
          <w:t xml:space="preserve"> </w:t>
        </w:r>
        <w:r>
          <w:t>each</w:t>
        </w:r>
        <w:r>
          <w:rPr>
            <w:spacing w:val="-1"/>
          </w:rPr>
          <w:t xml:space="preserve"> </w:t>
        </w:r>
        <w:r>
          <w:t>category</w:t>
        </w:r>
        <w:r>
          <w:tab/>
        </w:r>
        <w:r>
          <w:rPr>
            <w:b/>
          </w:rPr>
          <w:t>22</w:t>
        </w:r>
      </w:hyperlink>
    </w:p>
    <w:p w:rsidR="005330BF" w:rsidRDefault="00136814">
      <w:pPr>
        <w:pStyle w:val="BodyText"/>
        <w:spacing w:before="188"/>
        <w:ind w:left="110"/>
      </w:pPr>
      <w:hyperlink w:anchor="_bookmark17" w:history="1">
        <w:r>
          <w:rPr>
            <w:b/>
          </w:rPr>
          <w:t>Figure 2</w:t>
        </w:r>
        <w:r>
          <w:t>. Age and sex adjusted risk ratios for DSP recipients reporting at</w:t>
        </w:r>
      </w:hyperlink>
    </w:p>
    <w:p w:rsidR="005330BF" w:rsidRDefault="00136814">
      <w:pPr>
        <w:pStyle w:val="BodyText"/>
        <w:tabs>
          <w:tab w:val="left" w:pos="8750"/>
        </w:tabs>
        <w:spacing w:before="37"/>
        <w:ind w:left="110"/>
        <w:rPr>
          <w:b/>
        </w:rPr>
      </w:pPr>
      <w:hyperlink w:anchor="_bookmark17" w:history="1">
        <w:r>
          <w:t>least one condition in each</w:t>
        </w:r>
        <w:r>
          <w:rPr>
            <w:spacing w:val="-11"/>
          </w:rPr>
          <w:t xml:space="preserve"> </w:t>
        </w:r>
        <w:r>
          <w:t>ICD-10</w:t>
        </w:r>
        <w:r>
          <w:rPr>
            <w:spacing w:val="-1"/>
          </w:rPr>
          <w:t xml:space="preserve"> </w:t>
        </w:r>
        <w:r>
          <w:t>category</w:t>
        </w:r>
        <w:r>
          <w:tab/>
        </w:r>
        <w:r>
          <w:rPr>
            <w:b/>
          </w:rPr>
          <w:t>24</w:t>
        </w:r>
      </w:hyperlink>
    </w:p>
    <w:p w:rsidR="005330BF" w:rsidRDefault="00136814">
      <w:pPr>
        <w:pStyle w:val="BodyText"/>
        <w:spacing w:before="188"/>
        <w:ind w:left="110"/>
      </w:pPr>
      <w:hyperlink w:anchor="_bookmark19" w:history="1">
        <w:r>
          <w:rPr>
            <w:b/>
          </w:rPr>
          <w:t>Figure 3</w:t>
        </w:r>
        <w:r>
          <w:t>. Ag</w:t>
        </w:r>
        <w:r>
          <w:t>e and sex adjusted risk ratios for NSA recipients reporting at</w:t>
        </w:r>
      </w:hyperlink>
    </w:p>
    <w:p w:rsidR="005330BF" w:rsidRDefault="00136814">
      <w:pPr>
        <w:pStyle w:val="BodyText"/>
        <w:tabs>
          <w:tab w:val="left" w:pos="8750"/>
        </w:tabs>
        <w:spacing w:before="38"/>
        <w:ind w:left="110"/>
        <w:rPr>
          <w:b/>
        </w:rPr>
      </w:pPr>
      <w:hyperlink w:anchor="_bookmark19" w:history="1">
        <w:r>
          <w:t>least one condition in each</w:t>
        </w:r>
        <w:r>
          <w:rPr>
            <w:spacing w:val="-11"/>
          </w:rPr>
          <w:t xml:space="preserve"> </w:t>
        </w:r>
        <w:r>
          <w:t>ICD-10</w:t>
        </w:r>
        <w:r>
          <w:rPr>
            <w:spacing w:val="-1"/>
          </w:rPr>
          <w:t xml:space="preserve"> </w:t>
        </w:r>
        <w:r>
          <w:t>category</w:t>
        </w:r>
        <w:r>
          <w:tab/>
        </w:r>
        <w:r>
          <w:rPr>
            <w:b/>
          </w:rPr>
          <w:t>25</w:t>
        </w:r>
      </w:hyperlink>
    </w:p>
    <w:p w:rsidR="005330BF" w:rsidRDefault="00136814">
      <w:pPr>
        <w:pStyle w:val="BodyText"/>
        <w:spacing w:before="188"/>
        <w:ind w:left="110"/>
      </w:pPr>
      <w:hyperlink w:anchor="_bookmark21" w:history="1">
        <w:r>
          <w:rPr>
            <w:b/>
          </w:rPr>
          <w:t>Figure 4</w:t>
        </w:r>
        <w:r>
          <w:t>. The 20 ICD-10 conditions with the largest adjusted risk ratios</w:t>
        </w:r>
      </w:hyperlink>
    </w:p>
    <w:p w:rsidR="005330BF" w:rsidRDefault="00136814">
      <w:pPr>
        <w:pStyle w:val="BodyText"/>
        <w:tabs>
          <w:tab w:val="left" w:pos="8750"/>
        </w:tabs>
        <w:spacing w:before="37"/>
        <w:ind w:left="110"/>
        <w:rPr>
          <w:b/>
        </w:rPr>
      </w:pPr>
      <w:hyperlink w:anchor="_bookmark21" w:history="1">
        <w:r>
          <w:t>for prevalence in</w:t>
        </w:r>
        <w:r>
          <w:rPr>
            <w:spacing w:val="-7"/>
          </w:rPr>
          <w:t xml:space="preserve"> </w:t>
        </w:r>
        <w:r>
          <w:t>DSP</w:t>
        </w:r>
        <w:r>
          <w:rPr>
            <w:spacing w:val="-6"/>
          </w:rPr>
          <w:t xml:space="preserve"> </w:t>
        </w:r>
        <w:r>
          <w:t>recipients</w:t>
        </w:r>
        <w:r>
          <w:tab/>
        </w:r>
        <w:r>
          <w:rPr>
            <w:b/>
          </w:rPr>
          <w:t>26</w:t>
        </w:r>
      </w:hyperlink>
    </w:p>
    <w:p w:rsidR="005330BF" w:rsidRDefault="00136814">
      <w:pPr>
        <w:pStyle w:val="BodyText"/>
        <w:spacing w:before="188"/>
        <w:ind w:left="110"/>
      </w:pPr>
      <w:hyperlink w:anchor="_bookmark23" w:history="1">
        <w:r>
          <w:rPr>
            <w:b/>
          </w:rPr>
          <w:t>Figure 5</w:t>
        </w:r>
        <w:r>
          <w:t>. The 20 ICD-10 conditions with the largest adjusted risk ratios</w:t>
        </w:r>
      </w:hyperlink>
    </w:p>
    <w:p w:rsidR="005330BF" w:rsidRDefault="00136814">
      <w:pPr>
        <w:pStyle w:val="BodyText"/>
        <w:tabs>
          <w:tab w:val="left" w:pos="8750"/>
        </w:tabs>
        <w:spacing w:before="38"/>
        <w:ind w:left="110"/>
        <w:rPr>
          <w:b/>
        </w:rPr>
      </w:pPr>
      <w:hyperlink w:anchor="_bookmark23" w:history="1">
        <w:r>
          <w:t>for prevalence in</w:t>
        </w:r>
        <w:r>
          <w:rPr>
            <w:spacing w:val="-8"/>
          </w:rPr>
          <w:t xml:space="preserve"> </w:t>
        </w:r>
        <w:r>
          <w:t>NSA</w:t>
        </w:r>
        <w:r>
          <w:rPr>
            <w:spacing w:val="-14"/>
          </w:rPr>
          <w:t xml:space="preserve"> </w:t>
        </w:r>
        <w:r>
          <w:t>recipients</w:t>
        </w:r>
        <w:r>
          <w:tab/>
        </w:r>
        <w:r>
          <w:rPr>
            <w:b/>
          </w:rPr>
          <w:t>27</w:t>
        </w:r>
      </w:hyperlink>
    </w:p>
    <w:p w:rsidR="005330BF" w:rsidRDefault="00136814">
      <w:pPr>
        <w:pStyle w:val="BodyText"/>
        <w:spacing w:before="188"/>
        <w:ind w:left="110"/>
      </w:pPr>
      <w:hyperlink w:anchor="_bookmark25" w:history="1">
        <w:r>
          <w:rPr>
            <w:b/>
          </w:rPr>
          <w:t>Figure 6</w:t>
        </w:r>
        <w:r>
          <w:t>. Age and sex adjusted risk ratios for reporting multiple ICD-10</w:t>
        </w:r>
      </w:hyperlink>
    </w:p>
    <w:p w:rsidR="005330BF" w:rsidRDefault="00136814">
      <w:pPr>
        <w:pStyle w:val="BodyText"/>
        <w:tabs>
          <w:tab w:val="left" w:pos="8750"/>
        </w:tabs>
        <w:spacing w:before="38"/>
        <w:ind w:left="110"/>
        <w:rPr>
          <w:b/>
        </w:rPr>
      </w:pPr>
      <w:hyperlink w:anchor="_bookmark25" w:history="1">
        <w:r>
          <w:t>conditions in DSP and</w:t>
        </w:r>
        <w:r>
          <w:rPr>
            <w:spacing w:val="-10"/>
          </w:rPr>
          <w:t xml:space="preserve"> </w:t>
        </w:r>
        <w:r>
          <w:t>NSA</w:t>
        </w:r>
        <w:r>
          <w:rPr>
            <w:spacing w:val="-13"/>
          </w:rPr>
          <w:t xml:space="preserve"> </w:t>
        </w:r>
        <w:r>
          <w:t>recipients</w:t>
        </w:r>
        <w:r>
          <w:tab/>
        </w:r>
        <w:r>
          <w:rPr>
            <w:b/>
          </w:rPr>
          <w:t>28</w:t>
        </w:r>
      </w:hyperlink>
    </w:p>
    <w:p w:rsidR="005330BF" w:rsidRDefault="00136814">
      <w:pPr>
        <w:pStyle w:val="BodyText"/>
        <w:spacing w:before="187"/>
        <w:ind w:left="110"/>
      </w:pPr>
      <w:hyperlink w:anchor="_bookmark31" w:history="1">
        <w:r>
          <w:rPr>
            <w:b/>
          </w:rPr>
          <w:t>Figure 7</w:t>
        </w:r>
        <w:r>
          <w:t>. Age and sex adjusted risk ratios for having visited a health</w:t>
        </w:r>
      </w:hyperlink>
    </w:p>
    <w:p w:rsidR="005330BF" w:rsidRDefault="00136814">
      <w:pPr>
        <w:pStyle w:val="BodyText"/>
        <w:tabs>
          <w:tab w:val="left" w:pos="8750"/>
        </w:tabs>
        <w:spacing w:before="38"/>
        <w:ind w:left="110"/>
        <w:rPr>
          <w:b/>
        </w:rPr>
      </w:pPr>
      <w:hyperlink w:anchor="_bookmark31" w:history="1">
        <w:r>
          <w:t>professional at least once in past 12 months for</w:t>
        </w:r>
        <w:r>
          <w:rPr>
            <w:spacing w:val="-27"/>
          </w:rPr>
          <w:t xml:space="preserve"> </w:t>
        </w:r>
        <w:r>
          <w:t>DSP</w:t>
        </w:r>
        <w:r>
          <w:rPr>
            <w:spacing w:val="-6"/>
          </w:rPr>
          <w:t xml:space="preserve"> </w:t>
        </w:r>
        <w:r>
          <w:t>recipients</w:t>
        </w:r>
        <w:r>
          <w:tab/>
        </w:r>
        <w:r>
          <w:rPr>
            <w:b/>
          </w:rPr>
          <w:t>32</w:t>
        </w:r>
      </w:hyperlink>
    </w:p>
    <w:p w:rsidR="005330BF" w:rsidRDefault="00136814">
      <w:pPr>
        <w:pStyle w:val="BodyText"/>
        <w:spacing w:before="188"/>
        <w:ind w:left="110"/>
      </w:pPr>
      <w:hyperlink w:anchor="_bookmark33" w:history="1">
        <w:r>
          <w:rPr>
            <w:b/>
          </w:rPr>
          <w:t>Figure 8</w:t>
        </w:r>
        <w:r>
          <w:t>. Age and sex adjusted risk ratios for having visited a health</w:t>
        </w:r>
      </w:hyperlink>
    </w:p>
    <w:p w:rsidR="005330BF" w:rsidRDefault="00136814">
      <w:pPr>
        <w:pStyle w:val="BodyText"/>
        <w:tabs>
          <w:tab w:val="left" w:pos="8750"/>
        </w:tabs>
        <w:spacing w:before="38"/>
        <w:ind w:left="110"/>
        <w:rPr>
          <w:b/>
        </w:rPr>
      </w:pPr>
      <w:hyperlink w:anchor="_bookmark33" w:history="1">
        <w:r>
          <w:t>professional at least on</w:t>
        </w:r>
        <w:r>
          <w:t>ce in past 12 months for</w:t>
        </w:r>
        <w:r>
          <w:rPr>
            <w:spacing w:val="-27"/>
          </w:rPr>
          <w:t xml:space="preserve"> </w:t>
        </w:r>
        <w:r>
          <w:t>NSA</w:t>
        </w:r>
        <w:r>
          <w:rPr>
            <w:spacing w:val="-14"/>
          </w:rPr>
          <w:t xml:space="preserve"> </w:t>
        </w:r>
        <w:r>
          <w:t>recipients</w:t>
        </w:r>
        <w:r>
          <w:tab/>
        </w:r>
        <w:r>
          <w:rPr>
            <w:b/>
          </w:rPr>
          <w:t>33</w:t>
        </w:r>
      </w:hyperlink>
    </w:p>
    <w:p w:rsidR="005330BF" w:rsidRDefault="00136814">
      <w:pPr>
        <w:pStyle w:val="BodyText"/>
        <w:spacing w:before="187"/>
        <w:ind w:left="110"/>
      </w:pPr>
      <w:hyperlink w:anchor="_bookmark35" w:history="1">
        <w:r>
          <w:rPr>
            <w:b/>
          </w:rPr>
          <w:t>Figure 9</w:t>
        </w:r>
        <w:r>
          <w:t>. Age and sex adjusted risk ratios for having used a particular</w:t>
        </w:r>
      </w:hyperlink>
    </w:p>
    <w:p w:rsidR="005330BF" w:rsidRDefault="00136814">
      <w:pPr>
        <w:pStyle w:val="BodyText"/>
        <w:tabs>
          <w:tab w:val="left" w:pos="8750"/>
        </w:tabs>
        <w:spacing w:before="38"/>
        <w:ind w:left="110"/>
        <w:rPr>
          <w:b/>
        </w:rPr>
      </w:pPr>
      <w:hyperlink w:anchor="_bookmark35" w:history="1">
        <w:r>
          <w:t>health service at least once in the past 12 months in DSP and</w:t>
        </w:r>
        <w:r>
          <w:rPr>
            <w:spacing w:val="-34"/>
          </w:rPr>
          <w:t xml:space="preserve"> </w:t>
        </w:r>
        <w:r>
          <w:t>NSA</w:t>
        </w:r>
        <w:r>
          <w:rPr>
            <w:spacing w:val="-13"/>
          </w:rPr>
          <w:t xml:space="preserve"> </w:t>
        </w:r>
        <w:r>
          <w:t>recipients</w:t>
        </w:r>
        <w:r>
          <w:tab/>
        </w:r>
        <w:r>
          <w:rPr>
            <w:b/>
          </w:rPr>
          <w:t>34</w:t>
        </w:r>
      </w:hyperlink>
    </w:p>
    <w:p w:rsidR="005330BF" w:rsidRDefault="00136814">
      <w:pPr>
        <w:pStyle w:val="BodyText"/>
        <w:spacing w:before="188"/>
        <w:ind w:left="110"/>
      </w:pPr>
      <w:hyperlink w:anchor="_bookmark39" w:history="1">
        <w:r>
          <w:rPr>
            <w:b/>
          </w:rPr>
          <w:t>Figure 10</w:t>
        </w:r>
        <w:r>
          <w:t>. Age and sex adjusted incidence rate ratios for the frequency of visits to</w:t>
        </w:r>
      </w:hyperlink>
    </w:p>
    <w:p w:rsidR="005330BF" w:rsidRDefault="00136814">
      <w:pPr>
        <w:pStyle w:val="BodyText"/>
        <w:tabs>
          <w:tab w:val="left" w:pos="8750"/>
        </w:tabs>
        <w:spacing w:before="38"/>
        <w:ind w:left="110"/>
        <w:rPr>
          <w:b/>
        </w:rPr>
      </w:pPr>
      <w:hyperlink w:anchor="_bookmark39" w:history="1">
        <w:r>
          <w:t>a health professional or hospital in the past 12 months for DSP and</w:t>
        </w:r>
        <w:r>
          <w:rPr>
            <w:spacing w:val="-42"/>
          </w:rPr>
          <w:t xml:space="preserve"> </w:t>
        </w:r>
        <w:r>
          <w:t>NSA</w:t>
        </w:r>
        <w:r>
          <w:rPr>
            <w:spacing w:val="-14"/>
          </w:rPr>
          <w:t xml:space="preserve"> </w:t>
        </w:r>
        <w:r>
          <w:t>recipients</w:t>
        </w:r>
        <w:r>
          <w:tab/>
        </w:r>
        <w:r>
          <w:rPr>
            <w:b/>
          </w:rPr>
          <w:t>37</w:t>
        </w:r>
      </w:hyperlink>
    </w:p>
    <w:p w:rsidR="005330BF" w:rsidRDefault="00136814">
      <w:pPr>
        <w:pStyle w:val="BodyText"/>
        <w:spacing w:before="188"/>
        <w:ind w:left="110"/>
      </w:pPr>
      <w:hyperlink w:anchor="_bookmark41" w:history="1">
        <w:r>
          <w:rPr>
            <w:b/>
          </w:rPr>
          <w:t>Figure 11</w:t>
        </w:r>
        <w:r>
          <w:t>. Age and sex adjusted risk ratios for having taken at least one medication</w:t>
        </w:r>
      </w:hyperlink>
    </w:p>
    <w:p w:rsidR="005330BF" w:rsidRDefault="00136814">
      <w:pPr>
        <w:pStyle w:val="BodyText"/>
        <w:tabs>
          <w:tab w:val="left" w:pos="8750"/>
        </w:tabs>
        <w:spacing w:before="37"/>
        <w:ind w:left="110"/>
        <w:rPr>
          <w:b/>
        </w:rPr>
      </w:pPr>
      <w:hyperlink w:anchor="_bookmark41" w:history="1">
        <w:r>
          <w:t>or supplement in the previous two weeks in DSP and</w:t>
        </w:r>
        <w:r>
          <w:rPr>
            <w:spacing w:val="-26"/>
          </w:rPr>
          <w:t xml:space="preserve"> </w:t>
        </w:r>
        <w:r>
          <w:t>NSA</w:t>
        </w:r>
        <w:r>
          <w:rPr>
            <w:spacing w:val="-13"/>
          </w:rPr>
          <w:t xml:space="preserve"> </w:t>
        </w:r>
        <w:r>
          <w:t>recipients</w:t>
        </w:r>
        <w:r>
          <w:tab/>
        </w:r>
        <w:r>
          <w:rPr>
            <w:b/>
          </w:rPr>
          <w:t>38</w:t>
        </w:r>
      </w:hyperlink>
    </w:p>
    <w:p w:rsidR="005330BF" w:rsidRDefault="00136814">
      <w:pPr>
        <w:pStyle w:val="BodyText"/>
        <w:tabs>
          <w:tab w:val="left" w:pos="8750"/>
        </w:tabs>
        <w:spacing w:before="188" w:line="273" w:lineRule="auto"/>
        <w:ind w:left="110" w:right="1628"/>
        <w:rPr>
          <w:b/>
        </w:rPr>
      </w:pPr>
      <w:hyperlink w:anchor="_bookmark43" w:history="1">
        <w:r>
          <w:rPr>
            <w:b/>
          </w:rPr>
          <w:t>Figure 12</w:t>
        </w:r>
        <w:r>
          <w:t>. Age and sex adjusted</w:t>
        </w:r>
        <w:r>
          <w:t xml:space="preserve"> incidence rate ratios for the number of different</w:t>
        </w:r>
      </w:hyperlink>
      <w:r>
        <w:t xml:space="preserve"> </w:t>
      </w:r>
      <w:hyperlink w:anchor="_bookmark43" w:history="1">
        <w:r>
          <w:t>medications or supplements taken in the past two weeks for DSP and</w:t>
        </w:r>
        <w:r>
          <w:rPr>
            <w:spacing w:val="-21"/>
          </w:rPr>
          <w:t xml:space="preserve"> </w:t>
        </w:r>
        <w:r>
          <w:t>NSA</w:t>
        </w:r>
        <w:r>
          <w:rPr>
            <w:spacing w:val="-13"/>
          </w:rPr>
          <w:t xml:space="preserve"> </w:t>
        </w:r>
        <w:r>
          <w:t>recipients</w:t>
        </w:r>
        <w:r>
          <w:tab/>
        </w:r>
        <w:r>
          <w:rPr>
            <w:b/>
            <w:spacing w:val="-9"/>
          </w:rPr>
          <w:t>39</w:t>
        </w:r>
      </w:hyperlink>
    </w:p>
    <w:p w:rsidR="005330BF" w:rsidRDefault="00136814">
      <w:pPr>
        <w:pStyle w:val="BodyText"/>
        <w:spacing w:before="152"/>
        <w:ind w:left="110"/>
      </w:pPr>
      <w:hyperlink w:anchor="_bookmark45" w:history="1">
        <w:r>
          <w:rPr>
            <w:b/>
          </w:rPr>
          <w:t>Figure 13</w:t>
        </w:r>
        <w:r>
          <w:t>. Age and sex adjusted risk ratios for having use</w:t>
        </w:r>
        <w:r>
          <w:t>d a medication</w:t>
        </w:r>
      </w:hyperlink>
    </w:p>
    <w:p w:rsidR="005330BF" w:rsidRDefault="00136814">
      <w:pPr>
        <w:pStyle w:val="BodyText"/>
        <w:tabs>
          <w:tab w:val="left" w:pos="8750"/>
        </w:tabs>
        <w:spacing w:before="38"/>
        <w:ind w:left="110"/>
        <w:rPr>
          <w:b/>
        </w:rPr>
      </w:pPr>
      <w:hyperlink w:anchor="_bookmark45" w:history="1">
        <w:r>
          <w:t xml:space="preserve">from an </w:t>
        </w:r>
        <w:r>
          <w:rPr>
            <w:spacing w:val="-6"/>
          </w:rPr>
          <w:t xml:space="preserve">ATC </w:t>
        </w:r>
        <w:r>
          <w:t>category at least once in the past 2 weeks for</w:t>
        </w:r>
        <w:r>
          <w:rPr>
            <w:spacing w:val="-29"/>
          </w:rPr>
          <w:t xml:space="preserve"> </w:t>
        </w:r>
        <w:r>
          <w:t>DSP</w:t>
        </w:r>
        <w:r>
          <w:rPr>
            <w:spacing w:val="-5"/>
          </w:rPr>
          <w:t xml:space="preserve"> </w:t>
        </w:r>
        <w:r>
          <w:t>recipients</w:t>
        </w:r>
        <w:r>
          <w:tab/>
        </w:r>
        <w:r>
          <w:rPr>
            <w:b/>
          </w:rPr>
          <w:t>40</w:t>
        </w:r>
      </w:hyperlink>
    </w:p>
    <w:p w:rsidR="005330BF" w:rsidRDefault="00136814">
      <w:pPr>
        <w:pStyle w:val="BodyText"/>
        <w:spacing w:before="188"/>
        <w:ind w:left="110"/>
      </w:pPr>
      <w:hyperlink w:anchor="_bookmark47" w:history="1">
        <w:r>
          <w:rPr>
            <w:b/>
          </w:rPr>
          <w:t>Figure 14</w:t>
        </w:r>
        <w:r>
          <w:t>. Age and sex adjusted risk ratios for having used a medication from</w:t>
        </w:r>
      </w:hyperlink>
    </w:p>
    <w:p w:rsidR="005330BF" w:rsidRDefault="00136814">
      <w:pPr>
        <w:pStyle w:val="BodyText"/>
        <w:tabs>
          <w:tab w:val="left" w:pos="8750"/>
        </w:tabs>
        <w:spacing w:before="38"/>
        <w:ind w:left="110"/>
        <w:rPr>
          <w:b/>
        </w:rPr>
      </w:pPr>
      <w:hyperlink w:anchor="_bookmark47" w:history="1">
        <w:r>
          <w:t xml:space="preserve">an </w:t>
        </w:r>
        <w:r>
          <w:rPr>
            <w:spacing w:val="-6"/>
          </w:rPr>
          <w:t xml:space="preserve">ATC </w:t>
        </w:r>
        <w:r>
          <w:t>category at least once in the past 2 weeks for</w:t>
        </w:r>
        <w:r>
          <w:rPr>
            <w:spacing w:val="-29"/>
          </w:rPr>
          <w:t xml:space="preserve"> </w:t>
        </w:r>
        <w:r>
          <w:t>NSA</w:t>
        </w:r>
        <w:r>
          <w:rPr>
            <w:spacing w:val="-13"/>
          </w:rPr>
          <w:t xml:space="preserve"> </w:t>
        </w:r>
        <w:r>
          <w:t>recipients</w:t>
        </w:r>
        <w:r>
          <w:tab/>
        </w:r>
        <w:r>
          <w:rPr>
            <w:b/>
          </w:rPr>
          <w:t>41</w:t>
        </w:r>
      </w:hyperlink>
    </w:p>
    <w:p w:rsidR="005330BF" w:rsidRDefault="005330BF">
      <w:pPr>
        <w:sectPr w:rsidR="005330BF">
          <w:pgSz w:w="11910" w:h="16840"/>
          <w:pgMar w:top="1060" w:right="540" w:bottom="560" w:left="740" w:header="0" w:footer="290" w:gutter="0"/>
          <w:cols w:space="720"/>
        </w:sectPr>
      </w:pPr>
    </w:p>
    <w:p w:rsidR="005330BF" w:rsidRDefault="00136814">
      <w:pPr>
        <w:spacing w:before="53"/>
        <w:ind w:left="110"/>
        <w:rPr>
          <w:rFonts w:ascii="Helvetica Neue"/>
          <w:b/>
          <w:sz w:val="60"/>
        </w:rPr>
      </w:pPr>
      <w:r>
        <w:rPr>
          <w:rFonts w:ascii="Helvetica Neue"/>
          <w:b/>
          <w:color w:val="58595B"/>
          <w:sz w:val="60"/>
        </w:rPr>
        <w:lastRenderedPageBreak/>
        <w:t>Tables</w:t>
      </w:r>
    </w:p>
    <w:p w:rsidR="005330BF" w:rsidRDefault="00136814">
      <w:pPr>
        <w:pStyle w:val="BodyText"/>
        <w:spacing w:before="559"/>
        <w:ind w:left="110"/>
      </w:pPr>
      <w:hyperlink w:anchor="_bookmark9" w:history="1">
        <w:r>
          <w:rPr>
            <w:b/>
          </w:rPr>
          <w:t>Table 1</w:t>
        </w:r>
        <w:r>
          <w:t>. Characteristics of Wage Earners, Disability Support Pension</w:t>
        </w:r>
      </w:hyperlink>
    </w:p>
    <w:p w:rsidR="005330BF" w:rsidRDefault="00136814">
      <w:pPr>
        <w:pStyle w:val="BodyText"/>
        <w:tabs>
          <w:tab w:val="right" w:pos="8994"/>
        </w:tabs>
        <w:spacing w:before="38"/>
        <w:ind w:left="110"/>
        <w:rPr>
          <w:b/>
        </w:rPr>
      </w:pPr>
      <w:hyperlink w:anchor="_bookmark9" w:history="1">
        <w:r>
          <w:t>and Newstart</w:t>
        </w:r>
        <w:r>
          <w:rPr>
            <w:spacing w:val="-14"/>
          </w:rPr>
          <w:t xml:space="preserve"> </w:t>
        </w:r>
        <w:r>
          <w:t>Allowance groups</w:t>
        </w:r>
        <w:r>
          <w:tab/>
        </w:r>
        <w:r>
          <w:rPr>
            <w:b/>
          </w:rPr>
          <w:t>19</w:t>
        </w:r>
      </w:hyperlink>
    </w:p>
    <w:p w:rsidR="005330BF" w:rsidRDefault="00136814">
      <w:pPr>
        <w:pStyle w:val="BodyText"/>
        <w:spacing w:before="188"/>
        <w:ind w:left="110"/>
      </w:pPr>
      <w:hyperlink w:anchor="_bookmark11" w:history="1">
        <w:r>
          <w:rPr>
            <w:b/>
          </w:rPr>
          <w:t>Table 2</w:t>
        </w:r>
        <w:r>
          <w:t>. Number and percentage of individuals who assessed their health to</w:t>
        </w:r>
      </w:hyperlink>
    </w:p>
    <w:p w:rsidR="005330BF" w:rsidRDefault="00136814">
      <w:pPr>
        <w:pStyle w:val="BodyText"/>
        <w:tabs>
          <w:tab w:val="right" w:pos="8994"/>
        </w:tabs>
        <w:spacing w:before="37"/>
        <w:ind w:left="110"/>
        <w:rPr>
          <w:b/>
        </w:rPr>
      </w:pPr>
      <w:hyperlink w:anchor="_bookmark11" w:history="1">
        <w:r>
          <w:t>be excellent, very good, good, fair</w:t>
        </w:r>
        <w:r>
          <w:rPr>
            <w:spacing w:val="-6"/>
          </w:rPr>
          <w:t xml:space="preserve"> </w:t>
        </w:r>
        <w:r>
          <w:t>or</w:t>
        </w:r>
        <w:r>
          <w:rPr>
            <w:spacing w:val="-1"/>
          </w:rPr>
          <w:t xml:space="preserve"> </w:t>
        </w:r>
        <w:r>
          <w:rPr>
            <w:spacing w:val="-3"/>
          </w:rPr>
          <w:t>poor.</w:t>
        </w:r>
        <w:r>
          <w:rPr>
            <w:spacing w:val="-3"/>
          </w:rPr>
          <w:tab/>
        </w:r>
        <w:r>
          <w:rPr>
            <w:b/>
          </w:rPr>
          <w:t>21</w:t>
        </w:r>
      </w:hyperlink>
    </w:p>
    <w:p w:rsidR="005330BF" w:rsidRDefault="00136814">
      <w:pPr>
        <w:pStyle w:val="BodyText"/>
        <w:spacing w:before="188"/>
        <w:ind w:left="110"/>
      </w:pPr>
      <w:hyperlink w:anchor="_bookmark15" w:history="1">
        <w:r>
          <w:rPr>
            <w:b/>
          </w:rPr>
          <w:t>Table 3</w:t>
        </w:r>
        <w:r>
          <w:t xml:space="preserve">. Number and </w:t>
        </w:r>
        <w:r>
          <w:t>percentage of survey respondents with at least</w:t>
        </w:r>
      </w:hyperlink>
    </w:p>
    <w:p w:rsidR="005330BF" w:rsidRDefault="00136814">
      <w:pPr>
        <w:pStyle w:val="BodyText"/>
        <w:tabs>
          <w:tab w:val="right" w:pos="8994"/>
        </w:tabs>
        <w:spacing w:before="38"/>
        <w:ind w:left="110"/>
        <w:rPr>
          <w:b/>
        </w:rPr>
      </w:pPr>
      <w:hyperlink w:anchor="_bookmark15" w:history="1">
        <w:r>
          <w:t>one condition in each ICD-10 category, by</w:t>
        </w:r>
        <w:r>
          <w:rPr>
            <w:spacing w:val="-8"/>
          </w:rPr>
          <w:t xml:space="preserve"> </w:t>
        </w:r>
        <w:r>
          <w:t>study group</w:t>
        </w:r>
        <w:r>
          <w:tab/>
        </w:r>
        <w:r>
          <w:rPr>
            <w:b/>
          </w:rPr>
          <w:t>23</w:t>
        </w:r>
      </w:hyperlink>
    </w:p>
    <w:p w:rsidR="005330BF" w:rsidRDefault="00136814">
      <w:pPr>
        <w:pStyle w:val="BodyText"/>
        <w:spacing w:before="188"/>
        <w:ind w:left="110"/>
      </w:pPr>
      <w:hyperlink w:anchor="_bookmark27" w:history="1">
        <w:r>
          <w:rPr>
            <w:b/>
          </w:rPr>
          <w:t>Table 4</w:t>
        </w:r>
        <w:r>
          <w:t>. Age and sex adjusted risk ratios comparing the top 10 reported</w:t>
        </w:r>
      </w:hyperlink>
    </w:p>
    <w:p w:rsidR="005330BF" w:rsidRDefault="00136814">
      <w:pPr>
        <w:pStyle w:val="BodyText"/>
        <w:tabs>
          <w:tab w:val="right" w:pos="8994"/>
        </w:tabs>
        <w:spacing w:before="37"/>
        <w:ind w:left="110"/>
        <w:rPr>
          <w:b/>
        </w:rPr>
      </w:pPr>
      <w:hyperlink w:anchor="_bookmark27" w:history="1">
        <w:r>
          <w:t>ICD-10 conditions in wage earners to DSP and</w:t>
        </w:r>
        <w:r>
          <w:rPr>
            <w:spacing w:val="-11"/>
          </w:rPr>
          <w:t xml:space="preserve"> </w:t>
        </w:r>
        <w:r>
          <w:t>NSA</w:t>
        </w:r>
        <w:r>
          <w:rPr>
            <w:spacing w:val="-13"/>
          </w:rPr>
          <w:t xml:space="preserve"> </w:t>
        </w:r>
        <w:r>
          <w:t>recipients</w:t>
        </w:r>
        <w:r>
          <w:tab/>
        </w:r>
        <w:r>
          <w:rPr>
            <w:b/>
          </w:rPr>
          <w:t>29</w:t>
        </w:r>
      </w:hyperlink>
    </w:p>
    <w:p w:rsidR="005330BF" w:rsidRDefault="00136814">
      <w:pPr>
        <w:pStyle w:val="BodyText"/>
        <w:spacing w:before="188"/>
        <w:ind w:left="110"/>
      </w:pPr>
      <w:hyperlink w:anchor="_bookmark29" w:history="1">
        <w:r>
          <w:rPr>
            <w:b/>
          </w:rPr>
          <w:t>Table 5</w:t>
        </w:r>
        <w:r>
          <w:t>. Number and percentage of individuals in each group who visited</w:t>
        </w:r>
      </w:hyperlink>
    </w:p>
    <w:p w:rsidR="005330BF" w:rsidRDefault="00136814">
      <w:pPr>
        <w:pStyle w:val="BodyText"/>
        <w:tabs>
          <w:tab w:val="right" w:pos="8994"/>
        </w:tabs>
        <w:spacing w:before="38"/>
        <w:ind w:left="110"/>
        <w:rPr>
          <w:b/>
        </w:rPr>
      </w:pPr>
      <w:hyperlink w:anchor="_bookmark29" w:history="1">
        <w:r>
          <w:t>a particular health professional in the previous</w:t>
        </w:r>
        <w:r>
          <w:rPr>
            <w:spacing w:val="-11"/>
          </w:rPr>
          <w:t xml:space="preserve"> </w:t>
        </w:r>
        <w:r>
          <w:t>12</w:t>
        </w:r>
        <w:r>
          <w:rPr>
            <w:spacing w:val="-1"/>
          </w:rPr>
          <w:t xml:space="preserve"> </w:t>
        </w:r>
        <w:r>
          <w:t>months</w:t>
        </w:r>
        <w:r>
          <w:tab/>
        </w:r>
        <w:r>
          <w:rPr>
            <w:b/>
          </w:rPr>
          <w:t>30</w:t>
        </w:r>
      </w:hyperlink>
    </w:p>
    <w:p w:rsidR="005330BF" w:rsidRDefault="00136814">
      <w:pPr>
        <w:pStyle w:val="BodyText"/>
        <w:spacing w:before="188"/>
        <w:ind w:left="110"/>
      </w:pPr>
      <w:hyperlink w:anchor="_bookmark33" w:history="1">
        <w:r>
          <w:rPr>
            <w:b/>
          </w:rPr>
          <w:t>Table 6</w:t>
        </w:r>
        <w:r>
          <w:t>. Number and percentage of individuals in each group who visited</w:t>
        </w:r>
      </w:hyperlink>
    </w:p>
    <w:p w:rsidR="005330BF" w:rsidRDefault="00136814">
      <w:pPr>
        <w:pStyle w:val="BodyText"/>
        <w:tabs>
          <w:tab w:val="right" w:pos="8994"/>
        </w:tabs>
        <w:spacing w:before="38"/>
        <w:ind w:left="110"/>
        <w:rPr>
          <w:b/>
        </w:rPr>
      </w:pPr>
      <w:hyperlink w:anchor="_bookmark33" w:history="1">
        <w:r>
          <w:t>a hospital or health centre in the previous</w:t>
        </w:r>
        <w:r>
          <w:rPr>
            <w:spacing w:val="-9"/>
          </w:rPr>
          <w:t xml:space="preserve"> </w:t>
        </w:r>
        <w:r>
          <w:t>12</w:t>
        </w:r>
        <w:r>
          <w:rPr>
            <w:spacing w:val="-2"/>
          </w:rPr>
          <w:t xml:space="preserve"> </w:t>
        </w:r>
        <w:r>
          <w:t>months</w:t>
        </w:r>
        <w:r>
          <w:tab/>
        </w:r>
        <w:r>
          <w:rPr>
            <w:b/>
          </w:rPr>
          <w:t>33</w:t>
        </w:r>
      </w:hyperlink>
    </w:p>
    <w:p w:rsidR="005330BF" w:rsidRDefault="00136814">
      <w:pPr>
        <w:pStyle w:val="BodyText"/>
        <w:spacing w:before="187"/>
        <w:ind w:left="110"/>
      </w:pPr>
      <w:hyperlink w:anchor="_bookmark37" w:history="1">
        <w:r>
          <w:rPr>
            <w:b/>
          </w:rPr>
          <w:t>Table 7</w:t>
        </w:r>
        <w:r>
          <w:t>. Number and percentage of individuals in each group who visited</w:t>
        </w:r>
      </w:hyperlink>
    </w:p>
    <w:p w:rsidR="005330BF" w:rsidRDefault="00136814">
      <w:pPr>
        <w:pStyle w:val="BodyText"/>
        <w:tabs>
          <w:tab w:val="right" w:pos="8994"/>
        </w:tabs>
        <w:spacing w:before="38"/>
        <w:ind w:left="110"/>
        <w:rPr>
          <w:b/>
        </w:rPr>
      </w:pPr>
      <w:hyperlink w:anchor="_bookmark37" w:history="1">
        <w:r>
          <w:t>a particular health professional or health centre by frequency</w:t>
        </w:r>
        <w:r>
          <w:rPr>
            <w:spacing w:val="-15"/>
          </w:rPr>
          <w:t xml:space="preserve"> </w:t>
        </w:r>
        <w:r>
          <w:t>of</w:t>
        </w:r>
        <w:r>
          <w:rPr>
            <w:spacing w:val="-2"/>
          </w:rPr>
          <w:t xml:space="preserve"> </w:t>
        </w:r>
        <w:r>
          <w:t>visits</w:t>
        </w:r>
        <w:r>
          <w:tab/>
        </w:r>
        <w:r>
          <w:rPr>
            <w:b/>
          </w:rPr>
          <w:t>35</w:t>
        </w:r>
      </w:hyperlink>
    </w:p>
    <w:p w:rsidR="005330BF" w:rsidRDefault="00136814">
      <w:pPr>
        <w:pStyle w:val="BodyText"/>
        <w:spacing w:before="188"/>
        <w:ind w:left="110"/>
      </w:pPr>
      <w:hyperlink w:anchor="_bookmark39" w:history="1">
        <w:r>
          <w:rPr>
            <w:b/>
          </w:rPr>
          <w:t>Table 8</w:t>
        </w:r>
        <w:r>
          <w:t>. Number an</w:t>
        </w:r>
        <w:r>
          <w:t>d percentage of individuals in each group who took a</w:t>
        </w:r>
      </w:hyperlink>
    </w:p>
    <w:p w:rsidR="005330BF" w:rsidRDefault="00136814">
      <w:pPr>
        <w:pStyle w:val="BodyText"/>
        <w:tabs>
          <w:tab w:val="right" w:pos="8994"/>
        </w:tabs>
        <w:spacing w:before="38"/>
        <w:ind w:left="110"/>
        <w:rPr>
          <w:b/>
        </w:rPr>
      </w:pPr>
      <w:hyperlink w:anchor="_bookmark39" w:history="1">
        <w:r>
          <w:t>medication or supplement in the previous</w:t>
        </w:r>
        <w:r>
          <w:rPr>
            <w:spacing w:val="-5"/>
          </w:rPr>
          <w:t xml:space="preserve"> </w:t>
        </w:r>
        <w:r>
          <w:t>2</w:t>
        </w:r>
        <w:r>
          <w:rPr>
            <w:spacing w:val="-1"/>
          </w:rPr>
          <w:t xml:space="preserve"> </w:t>
        </w:r>
        <w:r>
          <w:t>weeks</w:t>
        </w:r>
        <w:r>
          <w:tab/>
        </w:r>
        <w:r>
          <w:rPr>
            <w:b/>
          </w:rPr>
          <w:t>37</w:t>
        </w:r>
      </w:hyperlink>
    </w:p>
    <w:p w:rsidR="005330BF" w:rsidRDefault="00136814">
      <w:pPr>
        <w:pStyle w:val="BodyText"/>
        <w:spacing w:before="187"/>
        <w:ind w:left="110"/>
      </w:pPr>
      <w:hyperlink w:anchor="_bookmark43" w:history="1">
        <w:r>
          <w:rPr>
            <w:b/>
          </w:rPr>
          <w:t>Table 9</w:t>
        </w:r>
        <w:r>
          <w:t>. Number and percentage of individuals in each group taking none,</w:t>
        </w:r>
      </w:hyperlink>
    </w:p>
    <w:p w:rsidR="005330BF" w:rsidRDefault="00136814">
      <w:pPr>
        <w:pStyle w:val="BodyText"/>
        <w:tabs>
          <w:tab w:val="right" w:pos="8994"/>
        </w:tabs>
        <w:spacing w:before="38"/>
        <w:ind w:left="110"/>
        <w:rPr>
          <w:b/>
        </w:rPr>
      </w:pPr>
      <w:hyperlink w:anchor="_bookmark43" w:history="1">
        <w:r>
          <w:t>one or multiple medicines or supplements in the previous</w:t>
        </w:r>
        <w:r>
          <w:rPr>
            <w:spacing w:val="-9"/>
          </w:rPr>
          <w:t xml:space="preserve"> </w:t>
        </w:r>
        <w:r>
          <w:t>2</w:t>
        </w:r>
        <w:r>
          <w:rPr>
            <w:spacing w:val="-2"/>
          </w:rPr>
          <w:t xml:space="preserve"> </w:t>
        </w:r>
        <w:r>
          <w:t>weeks</w:t>
        </w:r>
        <w:r>
          <w:tab/>
        </w:r>
        <w:r>
          <w:rPr>
            <w:b/>
          </w:rPr>
          <w:t>39</w:t>
        </w:r>
      </w:hyperlink>
    </w:p>
    <w:p w:rsidR="005330BF" w:rsidRDefault="00136814">
      <w:pPr>
        <w:tabs>
          <w:tab w:val="right" w:pos="8994"/>
        </w:tabs>
        <w:spacing w:before="188"/>
        <w:ind w:left="110"/>
        <w:rPr>
          <w:b/>
        </w:rPr>
      </w:pPr>
      <w:hyperlink w:anchor="_bookmark57" w:history="1">
        <w:r>
          <w:rPr>
            <w:b/>
            <w:spacing w:val="-4"/>
          </w:rPr>
          <w:t>Table</w:t>
        </w:r>
        <w:r>
          <w:rPr>
            <w:b/>
            <w:spacing w:val="-2"/>
          </w:rPr>
          <w:t xml:space="preserve"> </w:t>
        </w:r>
        <w:r>
          <w:rPr>
            <w:b/>
          </w:rPr>
          <w:t>10</w:t>
        </w:r>
        <w:r>
          <w:t>.</w:t>
        </w:r>
        <w:r>
          <w:rPr>
            <w:spacing w:val="-12"/>
          </w:rPr>
          <w:t xml:space="preserve"> </w:t>
        </w:r>
        <w:r>
          <w:t>Abbreviations</w:t>
        </w:r>
        <w:r>
          <w:tab/>
        </w:r>
        <w:r>
          <w:rPr>
            <w:b/>
          </w:rPr>
          <w:t>48</w:t>
        </w:r>
      </w:hyperlink>
    </w:p>
    <w:p w:rsidR="005330BF" w:rsidRDefault="005330BF">
      <w:pPr>
        <w:sectPr w:rsidR="005330BF">
          <w:pgSz w:w="11910" w:h="16840"/>
          <w:pgMar w:top="1060" w:right="540" w:bottom="560" w:left="740" w:header="0" w:footer="290" w:gutter="0"/>
          <w:cols w:space="720"/>
        </w:sectPr>
      </w:pPr>
    </w:p>
    <w:p w:rsidR="005330BF" w:rsidRDefault="00136814">
      <w:pPr>
        <w:pStyle w:val="BodyText"/>
        <w:spacing w:before="47" w:line="278" w:lineRule="auto"/>
        <w:ind w:right="1908"/>
      </w:pPr>
      <w:r>
        <w:t>This research report was prepared by Professor Alex Collie and Mr Luke Sheehan of the Insurance Work and Health Group, School of Public Health and Preventive Medicine, Monash University, Melbourne, Australia; and Dr Ashley McAllister of the Department of P</w:t>
      </w:r>
      <w:r>
        <w:t>ublic Health Sciences, Karolinksa Institute, Sweden.</w:t>
      </w:r>
    </w:p>
    <w:p w:rsidR="005330BF" w:rsidRDefault="00136814">
      <w:pPr>
        <w:pStyle w:val="BodyText"/>
        <w:spacing w:before="150" w:line="278" w:lineRule="auto"/>
        <w:ind w:right="1605"/>
      </w:pPr>
      <w:r>
        <w:t xml:space="preserve">For further information regarding this report please contact Professor Alex Collie </w:t>
      </w:r>
      <w:hyperlink r:id="rId9">
        <w:r>
          <w:t xml:space="preserve">(alex.collie@monash.edu </w:t>
        </w:r>
      </w:hyperlink>
      <w:r>
        <w:t xml:space="preserve">or +61 3 9903 0525) or visit the study website </w:t>
      </w:r>
      <w:hyperlink r:id="rId10">
        <w:r>
          <w:t>www.dspstudy.com</w:t>
        </w:r>
      </w:hyperlink>
    </w:p>
    <w:p w:rsidR="005330BF" w:rsidRDefault="00136814">
      <w:pPr>
        <w:pStyle w:val="BodyText"/>
        <w:spacing w:before="150" w:line="278" w:lineRule="auto"/>
        <w:ind w:right="1605"/>
      </w:pPr>
      <w:r>
        <w:t>This report may be cited as: Collie A, Sheehan L and McAllister A. The Health of Disability Support Pension and Newstart Allowance Recipients: Analy</w:t>
      </w:r>
      <w:r>
        <w:t>sis of National Health Survey Data. Insurance Work and Health Group, School of Public Health and Preventive Medicine, Monash University (2019).</w:t>
      </w:r>
    </w:p>
    <w:p w:rsidR="005330BF" w:rsidRDefault="00136814">
      <w:pPr>
        <w:pStyle w:val="BodyText"/>
        <w:spacing w:before="151"/>
      </w:pPr>
      <w:r>
        <w:t>ACKNOWLEDGMENTS</w:t>
      </w:r>
    </w:p>
    <w:p w:rsidR="005330BF" w:rsidRDefault="00136814">
      <w:pPr>
        <w:pStyle w:val="BodyText"/>
        <w:spacing w:before="191" w:line="278" w:lineRule="auto"/>
        <w:ind w:right="1908"/>
      </w:pPr>
      <w:r>
        <w:t>This report contains findings based on Australian Bureau of Statistics data. Permission was obta</w:t>
      </w:r>
      <w:r>
        <w:t>ined from the Australian Bureau of Statistics (ABS) to access the basic confidentialised unit record file (CURF) of the National Health Survey 2014—15 to enable data analysis.</w:t>
      </w:r>
    </w:p>
    <w:p w:rsidR="005330BF" w:rsidRDefault="00136814">
      <w:pPr>
        <w:pStyle w:val="BodyText"/>
        <w:spacing w:before="150" w:line="278" w:lineRule="auto"/>
        <w:ind w:right="1750"/>
      </w:pPr>
      <w:r>
        <w:t xml:space="preserve">The study was supported by an establishment grant provided by Monash University </w:t>
      </w:r>
      <w:r>
        <w:t>Faculty of Medicine Nursing and Health Sciences to Professor Collie. The authors gratefully acknowledge input on drafts of the report from staff of the Australian Federation of Disability Organisations, the National Social Security Rights Network and Natio</w:t>
      </w:r>
      <w:r>
        <w:t>nal Disability Services. The authors also acknowledge the support of Ms Dianne Beck in data management.</w:t>
      </w:r>
    </w:p>
    <w:p w:rsidR="005330BF" w:rsidRDefault="00136814">
      <w:pPr>
        <w:pStyle w:val="BodyText"/>
        <w:spacing w:before="151" w:line="278" w:lineRule="auto"/>
        <w:ind w:right="1714"/>
      </w:pPr>
      <w:r>
        <w:t xml:space="preserve">The views expressed in this report are those of the authors and do not necessarily reflect the views of funders or data providers. Information provided </w:t>
      </w:r>
      <w:r>
        <w:t xml:space="preserve">in this document can only assist an individual or organisation in a general </w:t>
      </w:r>
      <w:r>
        <w:rPr>
          <w:spacing w:val="-5"/>
        </w:rPr>
        <w:t xml:space="preserve">way. </w:t>
      </w:r>
      <w:r>
        <w:t>Monash University is not engaged in rendering specific professional advice and Monash University accepts no liability arising from the use of, or reliance on, the material con</w:t>
      </w:r>
      <w:r>
        <w:t xml:space="preserve">tained in this document. Before relying on the material, users should carefully make their own assessment as to its </w:t>
      </w:r>
      <w:r>
        <w:rPr>
          <w:spacing w:val="-3"/>
        </w:rPr>
        <w:t xml:space="preserve">accuracy, </w:t>
      </w:r>
      <w:r>
        <w:t>currency, completeness and relevance for their purposes, and should obtain any appropriate professional advice relevant to their p</w:t>
      </w:r>
      <w:r>
        <w:t>articular</w:t>
      </w:r>
      <w:r>
        <w:rPr>
          <w:spacing w:val="-2"/>
        </w:rPr>
        <w:t xml:space="preserve"> </w:t>
      </w:r>
      <w:r>
        <w:t>circumstances.</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Heading1"/>
        <w:ind w:left="1413"/>
      </w:pPr>
      <w:bookmarkStart w:id="1" w:name="Study_Highlights"/>
      <w:bookmarkStart w:id="2" w:name="_bookmark0"/>
      <w:bookmarkEnd w:id="1"/>
      <w:bookmarkEnd w:id="2"/>
      <w:r>
        <w:rPr>
          <w:color w:val="58595B"/>
        </w:rPr>
        <w:t>Study Highlights</w:t>
      </w:r>
    </w:p>
    <w:p w:rsidR="005330BF" w:rsidRDefault="005330BF">
      <w:pPr>
        <w:pStyle w:val="BodyText"/>
        <w:spacing w:before="9"/>
        <w:ind w:left="0"/>
        <w:rPr>
          <w:rFonts w:ascii="Helvetica Neue"/>
          <w:b/>
          <w:sz w:val="28"/>
        </w:rPr>
      </w:pPr>
    </w:p>
    <w:p w:rsidR="005330BF" w:rsidRDefault="00136814">
      <w:pPr>
        <w:pStyle w:val="BodyText"/>
        <w:spacing w:before="60" w:line="278" w:lineRule="auto"/>
        <w:ind w:left="2092" w:right="1865"/>
      </w:pPr>
      <w:r>
        <w:rPr>
          <w:noProof/>
        </w:rPr>
        <mc:AlternateContent>
          <mc:Choice Requires="wps">
            <w:drawing>
              <wp:anchor distT="0" distB="0" distL="114300" distR="114300" simplePos="0" relativeHeight="251659264" behindDoc="0" locked="0" layoutInCell="1" allowOverlap="1">
                <wp:simplePos x="0" y="0"/>
                <wp:positionH relativeFrom="page">
                  <wp:posOffset>1367155</wp:posOffset>
                </wp:positionH>
                <wp:positionV relativeFrom="paragraph">
                  <wp:posOffset>-10795</wp:posOffset>
                </wp:positionV>
                <wp:extent cx="171450" cy="485775"/>
                <wp:effectExtent l="0" t="0" r="4445"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rPr>
                                <w:rFonts w:ascii="Garamond"/>
                                <w:b/>
                                <w:sz w:val="68"/>
                              </w:rPr>
                            </w:pPr>
                            <w:r>
                              <w:rPr>
                                <w:rFonts w:ascii="Garamond"/>
                                <w:b/>
                                <w:color w:val="64B4BA"/>
                                <w:sz w:val="6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107.65pt;margin-top:-.85pt;width:13.5pt;height:3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w0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" filled="f" stroked="f">
                <v:textbox inset="0,0,0,0">
                  <w:txbxContent>
                    <w:p w:rsidR="005330BF" w:rsidRDefault="00136814">
                      <w:pPr>
                        <w:rPr>
                          <w:rFonts w:ascii="Garamond"/>
                          <w:b/>
                          <w:sz w:val="68"/>
                        </w:rPr>
                      </w:pPr>
                      <w:r>
                        <w:rPr>
                          <w:rFonts w:ascii="Garamond"/>
                          <w:b/>
                          <w:color w:val="64B4BA"/>
                          <w:sz w:val="68"/>
                        </w:rPr>
                        <w:t>1</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1367155</wp:posOffset>
                </wp:positionH>
                <wp:positionV relativeFrom="paragraph">
                  <wp:posOffset>846455</wp:posOffset>
                </wp:positionV>
                <wp:extent cx="202565" cy="485775"/>
                <wp:effectExtent l="0" t="0" r="1905" b="127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rPr>
                                <w:rFonts w:ascii="Garamond"/>
                                <w:b/>
                                <w:sz w:val="68"/>
                              </w:rPr>
                            </w:pPr>
                            <w:r>
                              <w:rPr>
                                <w:rFonts w:ascii="Garamond"/>
                                <w:b/>
                                <w:color w:val="64B4BA"/>
                                <w:sz w:val="6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107.65pt;margin-top:66.65pt;width:15.95pt;height:3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nrtA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" filled="f" stroked="f">
                <v:textbox inset="0,0,0,0">
                  <w:txbxContent>
                    <w:p w:rsidR="005330BF" w:rsidRDefault="00136814">
                      <w:pPr>
                        <w:rPr>
                          <w:rFonts w:ascii="Garamond"/>
                          <w:b/>
                          <w:sz w:val="68"/>
                        </w:rPr>
                      </w:pPr>
                      <w:r>
                        <w:rPr>
                          <w:rFonts w:ascii="Garamond"/>
                          <w:b/>
                          <w:color w:val="64B4BA"/>
                          <w:sz w:val="68"/>
                        </w:rPr>
                        <w:t>2</w:t>
                      </w:r>
                    </w:p>
                  </w:txbxContent>
                </v:textbox>
                <w10:wrap anchorx="page"/>
              </v:shape>
            </w:pict>
          </mc:Fallback>
        </mc:AlternateContent>
      </w:r>
      <w:r>
        <w:t xml:space="preserve">This study analysed self-reported health and health service use data from 638 Disability Support Pension (DSP) recipients, 442 Newstart Allowance (NSA) recipients and 8440 wage earners </w:t>
      </w:r>
      <w:r>
        <w:t>who completed the 2014/15 National Health Survey.</w:t>
      </w:r>
    </w:p>
    <w:p w:rsidR="005330BF" w:rsidRDefault="00136814">
      <w:pPr>
        <w:pStyle w:val="BodyText"/>
        <w:spacing w:before="150" w:line="278" w:lineRule="auto"/>
        <w:ind w:left="2092" w:right="2415"/>
      </w:pPr>
      <w:r>
        <w:rPr>
          <w:noProof/>
        </w:rPr>
        <mc:AlternateContent>
          <mc:Choice Requires="wps">
            <w:drawing>
              <wp:anchor distT="0" distB="0" distL="114300" distR="114300" simplePos="0" relativeHeight="251661312" behindDoc="0" locked="0" layoutInCell="1" allowOverlap="1">
                <wp:simplePos x="0" y="0"/>
                <wp:positionH relativeFrom="page">
                  <wp:posOffset>1367155</wp:posOffset>
                </wp:positionH>
                <wp:positionV relativeFrom="paragraph">
                  <wp:posOffset>713105</wp:posOffset>
                </wp:positionV>
                <wp:extent cx="202565" cy="485775"/>
                <wp:effectExtent l="0" t="0" r="1905" b="127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rPr>
                                <w:rFonts w:ascii="Garamond"/>
                                <w:b/>
                                <w:sz w:val="68"/>
                              </w:rPr>
                            </w:pPr>
                            <w:r>
                              <w:rPr>
                                <w:rFonts w:ascii="Garamond"/>
                                <w:b/>
                                <w:color w:val="64B4BA"/>
                                <w:sz w:val="6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07.65pt;margin-top:56.15pt;width:15.95pt;height:3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mb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5eGkgx490FGjWzEiPzT1GXqVgtt9D456hH3os+Wq+jtRflWIi3VD+I7eSCmGhpIK8vPNTffs&#10;6oSjDMh2+CAqiEP2WligsZadKR6UAwE6JPJ46o3JpYTNwAuiRYRRCUdhHC2X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" filled="f" stroked="f">
                <v:textbox inset="0,0,0,0">
                  <w:txbxContent>
                    <w:p w:rsidR="005330BF" w:rsidRDefault="00136814">
                      <w:pPr>
                        <w:rPr>
                          <w:rFonts w:ascii="Garamond"/>
                          <w:b/>
                          <w:sz w:val="68"/>
                        </w:rPr>
                      </w:pPr>
                      <w:r>
                        <w:rPr>
                          <w:rFonts w:ascii="Garamond"/>
                          <w:b/>
                          <w:color w:val="64B4BA"/>
                          <w:sz w:val="68"/>
                        </w:rPr>
                        <w:t>3</w:t>
                      </w:r>
                    </w:p>
                  </w:txbxContent>
                </v:textbox>
                <w10:wrap anchorx="page"/>
              </v:shape>
            </w:pict>
          </mc:Fallback>
        </mc:AlternateContent>
      </w:r>
      <w:r>
        <w:t>38% of DSP recipients rated their health as good, very good or excellent, compared with 67% of NSA recipients and 91% of wage earners.</w:t>
      </w:r>
    </w:p>
    <w:p w:rsidR="005330BF" w:rsidRDefault="00136814">
      <w:pPr>
        <w:pStyle w:val="BodyText"/>
        <w:spacing w:before="151" w:line="278" w:lineRule="auto"/>
        <w:ind w:left="2092" w:right="1853"/>
      </w:pPr>
      <w:r>
        <w:rPr>
          <w:noProof/>
        </w:rPr>
        <mc:AlternateContent>
          <mc:Choice Requires="wps">
            <w:drawing>
              <wp:anchor distT="0" distB="0" distL="114300" distR="114300" simplePos="0" relativeHeight="251662336" behindDoc="0" locked="0" layoutInCell="1" allowOverlap="1">
                <wp:simplePos x="0" y="0"/>
                <wp:positionH relativeFrom="page">
                  <wp:posOffset>1367155</wp:posOffset>
                </wp:positionH>
                <wp:positionV relativeFrom="paragraph">
                  <wp:posOffset>1475740</wp:posOffset>
                </wp:positionV>
                <wp:extent cx="202565" cy="485775"/>
                <wp:effectExtent l="0" t="0" r="1905" b="635"/>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rPr>
                                <w:rFonts w:ascii="Garamond"/>
                                <w:b/>
                                <w:sz w:val="68"/>
                              </w:rPr>
                            </w:pPr>
                            <w:r>
                              <w:rPr>
                                <w:rFonts w:ascii="Garamond"/>
                                <w:b/>
                                <w:color w:val="64B4BA"/>
                                <w:sz w:val="6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07.65pt;margin-top:116.2pt;width:15.95pt;height:3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UN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pzjpoEcPdNToVozIvzT1GXqVgtt9D456hH3os+Wq+jtRflWIi3VD+I7eSCmGhpIK8vPNTffs&#10;6oSjDMh2+CAqiEP2WligsZadKR6UAwE69Onx1BuTSwmbgRdEiwijEo7COFou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" filled="f" stroked="f">
                <v:textbox inset="0,0,0,0">
                  <w:txbxContent>
                    <w:p w:rsidR="005330BF" w:rsidRDefault="00136814">
                      <w:pPr>
                        <w:rPr>
                          <w:rFonts w:ascii="Garamond"/>
                          <w:b/>
                          <w:sz w:val="68"/>
                        </w:rPr>
                      </w:pPr>
                      <w:r>
                        <w:rPr>
                          <w:rFonts w:ascii="Garamond"/>
                          <w:b/>
                          <w:color w:val="64B4BA"/>
                          <w:sz w:val="68"/>
                        </w:rPr>
                        <w:t>4</w:t>
                      </w:r>
                    </w:p>
                  </w:txbxContent>
                </v:textbox>
                <w10:wrap anchorx="page"/>
              </v:shape>
            </w:pict>
          </mc:Fallback>
        </mc:AlternateContent>
      </w:r>
      <w:r>
        <w:t>Despite 16% of DSP recipients in this study reporting psychological disability as their main disability type, 69% reported experiencing a mental or behavioural problem. People receiving the DSP reported a much higher prevalence of mood disorders, anxiety d</w:t>
      </w:r>
      <w:r>
        <w:t>isorders, depression, obsessive compulsive disorder, alcohol and drug problems, post-traumatic stress disorder and problems of psychological development than wage earners.</w:t>
      </w:r>
    </w:p>
    <w:p w:rsidR="005330BF" w:rsidRDefault="00136814">
      <w:pPr>
        <w:pStyle w:val="BodyText"/>
        <w:spacing w:before="150" w:line="278" w:lineRule="auto"/>
        <w:ind w:left="2092" w:right="1628"/>
      </w:pPr>
      <w:r>
        <w:rPr>
          <w:noProof/>
        </w:rPr>
        <mc:AlternateContent>
          <mc:Choice Requires="wps">
            <w:drawing>
              <wp:anchor distT="0" distB="0" distL="114300" distR="114300" simplePos="0" relativeHeight="251663360" behindDoc="0" locked="0" layoutInCell="1" allowOverlap="1">
                <wp:simplePos x="0" y="0"/>
                <wp:positionH relativeFrom="page">
                  <wp:posOffset>1367155</wp:posOffset>
                </wp:positionH>
                <wp:positionV relativeFrom="paragraph">
                  <wp:posOffset>713105</wp:posOffset>
                </wp:positionV>
                <wp:extent cx="202565" cy="485775"/>
                <wp:effectExtent l="0" t="0" r="1905" b="127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rPr>
                                <w:rFonts w:ascii="Garamond"/>
                                <w:b/>
                                <w:sz w:val="68"/>
                              </w:rPr>
                            </w:pPr>
                            <w:r>
                              <w:rPr>
                                <w:rFonts w:ascii="Garamond"/>
                                <w:b/>
                                <w:color w:val="64B4BA"/>
                                <w:sz w:val="6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07.65pt;margin-top:56.15pt;width:15.95pt;height:3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lasA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" filled="f" stroked="f">
                <v:textbox inset="0,0,0,0">
                  <w:txbxContent>
                    <w:p w:rsidR="005330BF" w:rsidRDefault="00136814">
                      <w:pPr>
                        <w:rPr>
                          <w:rFonts w:ascii="Garamond"/>
                          <w:b/>
                          <w:sz w:val="68"/>
                        </w:rPr>
                      </w:pPr>
                      <w:r>
                        <w:rPr>
                          <w:rFonts w:ascii="Garamond"/>
                          <w:b/>
                          <w:color w:val="64B4BA"/>
                          <w:sz w:val="68"/>
                        </w:rPr>
                        <w:t>5</w:t>
                      </w:r>
                    </w:p>
                  </w:txbxContent>
                </v:textbox>
                <w10:wrap anchorx="page"/>
              </v:shape>
            </w:pict>
          </mc:Fallback>
        </mc:AlternateContent>
      </w:r>
      <w:r>
        <w:t>The same pattern was observed among NSA recipients, where 8% reported psycholog</w:t>
      </w:r>
      <w:r>
        <w:t>ical disability as their main disability, yet 48% reported experiencing a mental or behavioural problem.</w:t>
      </w:r>
    </w:p>
    <w:p w:rsidR="005330BF" w:rsidRDefault="00136814">
      <w:pPr>
        <w:pStyle w:val="BodyText"/>
        <w:spacing w:before="150" w:line="278" w:lineRule="auto"/>
        <w:ind w:left="2092" w:right="1792"/>
      </w:pPr>
      <w:r>
        <w:rPr>
          <w:noProof/>
        </w:rPr>
        <mc:AlternateContent>
          <mc:Choice Requires="wps">
            <w:drawing>
              <wp:anchor distT="0" distB="0" distL="114300" distR="114300" simplePos="0" relativeHeight="251664384" behindDoc="0" locked="0" layoutInCell="1" allowOverlap="1">
                <wp:simplePos x="0" y="0"/>
                <wp:positionH relativeFrom="page">
                  <wp:posOffset>1367155</wp:posOffset>
                </wp:positionH>
                <wp:positionV relativeFrom="paragraph">
                  <wp:posOffset>903605</wp:posOffset>
                </wp:positionV>
                <wp:extent cx="202565" cy="485775"/>
                <wp:effectExtent l="0" t="0" r="1905" b="127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rPr>
                                <w:rFonts w:ascii="Garamond"/>
                                <w:b/>
                                <w:sz w:val="68"/>
                              </w:rPr>
                            </w:pPr>
                            <w:r>
                              <w:rPr>
                                <w:rFonts w:ascii="Garamond"/>
                                <w:b/>
                                <w:color w:val="64B4BA"/>
                                <w:sz w:val="6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07.65pt;margin-top:71.15pt;width:15.95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OgsQIAALE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" filled="f" stroked="f">
                <v:textbox inset="0,0,0,0">
                  <w:txbxContent>
                    <w:p w:rsidR="005330BF" w:rsidRDefault="00136814">
                      <w:pPr>
                        <w:rPr>
                          <w:rFonts w:ascii="Garamond"/>
                          <w:b/>
                          <w:sz w:val="68"/>
                        </w:rPr>
                      </w:pPr>
                      <w:r>
                        <w:rPr>
                          <w:rFonts w:ascii="Garamond"/>
                          <w:b/>
                          <w:color w:val="64B4BA"/>
                          <w:sz w:val="68"/>
                        </w:rPr>
                        <w:t>6</w:t>
                      </w:r>
                    </w:p>
                  </w:txbxContent>
                </v:textbox>
                <w10:wrap anchorx="page"/>
              </v:shape>
            </w:pict>
          </mc:Fallback>
        </mc:AlternateContent>
      </w:r>
      <w:r>
        <w:t>People receiving the DSP and the NSA were more likely than wage earners to report health problems across a range of other disease categories. Both</w:t>
      </w:r>
      <w:r>
        <w:t xml:space="preserve"> DSP and NSA groups were at greater risk of multi- morbidity (presence of multiple health conditions) than wage earners.</w:t>
      </w:r>
    </w:p>
    <w:p w:rsidR="005330BF" w:rsidRDefault="00136814">
      <w:pPr>
        <w:pStyle w:val="BodyText"/>
        <w:spacing w:before="151" w:line="278" w:lineRule="auto"/>
        <w:ind w:left="2092" w:right="1657"/>
      </w:pPr>
      <w:r>
        <w:rPr>
          <w:noProof/>
        </w:rPr>
        <mc:AlternateContent>
          <mc:Choice Requires="wps">
            <w:drawing>
              <wp:anchor distT="0" distB="0" distL="114300" distR="114300" simplePos="0" relativeHeight="251665408" behindDoc="0" locked="0" layoutInCell="1" allowOverlap="1">
                <wp:simplePos x="0" y="0"/>
                <wp:positionH relativeFrom="page">
                  <wp:posOffset>1367155</wp:posOffset>
                </wp:positionH>
                <wp:positionV relativeFrom="paragraph">
                  <wp:posOffset>1094740</wp:posOffset>
                </wp:positionV>
                <wp:extent cx="202565" cy="485775"/>
                <wp:effectExtent l="0" t="0" r="1905" b="63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rPr>
                                <w:rFonts w:ascii="Garamond"/>
                                <w:b/>
                                <w:sz w:val="68"/>
                              </w:rPr>
                            </w:pPr>
                            <w:r>
                              <w:rPr>
                                <w:rFonts w:ascii="Garamond"/>
                                <w:b/>
                                <w:color w:val="64B4BA"/>
                                <w:sz w:val="6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107.65pt;margin-top:86.2pt;width:15.95pt;height:3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AbsQIAALE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" filled="f" stroked="f">
                <v:textbox inset="0,0,0,0">
                  <w:txbxContent>
                    <w:p w:rsidR="005330BF" w:rsidRDefault="00136814">
                      <w:pPr>
                        <w:rPr>
                          <w:rFonts w:ascii="Garamond"/>
                          <w:b/>
                          <w:sz w:val="68"/>
                        </w:rPr>
                      </w:pPr>
                      <w:r>
                        <w:rPr>
                          <w:rFonts w:ascii="Garamond"/>
                          <w:b/>
                          <w:color w:val="64B4BA"/>
                          <w:sz w:val="68"/>
                        </w:rPr>
                        <w:t>7</w:t>
                      </w:r>
                    </w:p>
                  </w:txbxContent>
                </v:textbox>
                <w10:wrap anchorx="page"/>
              </v:shape>
            </w:pict>
          </mc:Fallback>
        </mc:AlternateContent>
      </w:r>
      <w:r>
        <w:t>The rate of health service use was much higher in DSP recipients than wage earners. For example, more than two in every five (42.6%) DSP recipients visited a General Practitioner more than 10 times in the previous 12 months, compared to less than 5% of wag</w:t>
      </w:r>
      <w:r>
        <w:t>e earners and 19% of NSA recipients.</w:t>
      </w:r>
    </w:p>
    <w:p w:rsidR="005330BF" w:rsidRDefault="00136814">
      <w:pPr>
        <w:pStyle w:val="BodyText"/>
        <w:spacing w:before="150" w:line="278" w:lineRule="auto"/>
        <w:ind w:left="2092" w:right="1831"/>
      </w:pPr>
      <w:r>
        <w:t>More than one quarter (26%) of DSP recipients reported being admitted as a hospital inpatient in the previous 12 months and nearly one-quarter (23%) reported at least one visit to an emergency department. DSP recipients</w:t>
      </w:r>
      <w:r>
        <w:t xml:space="preserve"> were at 2 to 3 times the risk of visiting a hospital than wage earners, while NSA recipients were at 1.5 to</w:t>
      </w:r>
    </w:p>
    <w:p w:rsidR="005330BF" w:rsidRDefault="00136814">
      <w:pPr>
        <w:pStyle w:val="BodyText"/>
        <w:ind w:left="2092"/>
      </w:pPr>
      <w:r>
        <w:t>2 times increased risk compared with wage earners.</w:t>
      </w:r>
    </w:p>
    <w:p w:rsidR="005330BF" w:rsidRDefault="005330BF">
      <w:pPr>
        <w:sectPr w:rsidR="005330BF">
          <w:pgSz w:w="11910" w:h="16840"/>
          <w:pgMar w:top="1060" w:right="540" w:bottom="560" w:left="740" w:header="0" w:footer="290" w:gutter="0"/>
          <w:cols w:space="720"/>
        </w:sectPr>
      </w:pPr>
    </w:p>
    <w:p w:rsidR="005330BF" w:rsidRDefault="00136814">
      <w:pPr>
        <w:pStyle w:val="Heading1"/>
      </w:pPr>
      <w:bookmarkStart w:id="3" w:name="Executive_Summary_"/>
      <w:bookmarkStart w:id="4" w:name="_bookmark1"/>
      <w:bookmarkEnd w:id="3"/>
      <w:bookmarkEnd w:id="4"/>
      <w:r>
        <w:rPr>
          <w:color w:val="58595B"/>
        </w:rPr>
        <w:t>Executive Summary</w:t>
      </w:r>
    </w:p>
    <w:p w:rsidR="005330BF" w:rsidRDefault="00136814">
      <w:pPr>
        <w:pStyle w:val="BodyText"/>
        <w:spacing w:before="411" w:line="278" w:lineRule="auto"/>
        <w:ind w:right="1612"/>
      </w:pPr>
      <w:r>
        <w:t>More than 1.4 million Australians receive the Disability Support Pension (DSP) or the Newstart Allowance (NSA). The annual cost to government of benefit payments alone to these two groups exceeds $27 billion. Global evidence shows that people receiving suc</w:t>
      </w:r>
      <w:r>
        <w:t>h social assistance benefits have poorer health on average than other working age people in paid employment. There is also evidence that changes in benefit scheme design and</w:t>
      </w:r>
      <w:r>
        <w:rPr>
          <w:spacing w:val="-44"/>
        </w:rPr>
        <w:t xml:space="preserve"> </w:t>
      </w:r>
      <w:r>
        <w:t>procedures can contribute to changes in health. There have been many changes to pr</w:t>
      </w:r>
      <w:r>
        <w:t>ocess and to policy in the Australian benefit system, administered by Centrelink, over the past decade. There are also very few recent studies focused on the health status and health service use of Australians receiving the DSP or the</w:t>
      </w:r>
      <w:r>
        <w:rPr>
          <w:spacing w:val="-6"/>
        </w:rPr>
        <w:t xml:space="preserve"> </w:t>
      </w:r>
      <w:r>
        <w:t>NSA.</w:t>
      </w:r>
    </w:p>
    <w:p w:rsidR="005330BF" w:rsidRDefault="00136814">
      <w:pPr>
        <w:pStyle w:val="BodyText"/>
        <w:spacing w:before="151" w:line="278" w:lineRule="auto"/>
        <w:ind w:right="1578"/>
      </w:pPr>
      <w:r>
        <w:t xml:space="preserve">Using data from </w:t>
      </w:r>
      <w:r>
        <w:t xml:space="preserve">the 2014/15 National Health Survey, this study described and compared the self-reported health conditions, health service use and medicines use in three groups of Australians: </w:t>
      </w:r>
      <w:r>
        <w:rPr>
          <w:b/>
        </w:rPr>
        <w:t xml:space="preserve">(a) </w:t>
      </w:r>
      <w:r>
        <w:t>People receiving the DSP;</w:t>
      </w:r>
    </w:p>
    <w:p w:rsidR="005330BF" w:rsidRDefault="00136814">
      <w:pPr>
        <w:pStyle w:val="BodyText"/>
        <w:spacing w:line="276" w:lineRule="auto"/>
        <w:ind w:right="1689"/>
      </w:pPr>
      <w:r>
        <w:rPr>
          <w:b/>
        </w:rPr>
        <w:t xml:space="preserve">(b) </w:t>
      </w:r>
      <w:r>
        <w:t xml:space="preserve">People receiving the NSA; and </w:t>
      </w:r>
      <w:r>
        <w:rPr>
          <w:b/>
        </w:rPr>
        <w:t xml:space="preserve">(c) </w:t>
      </w:r>
      <w:r>
        <w:t>People whose</w:t>
      </w:r>
      <w:r>
        <w:t xml:space="preserve"> primary income sources was from wages (“wage earners”).</w:t>
      </w:r>
    </w:p>
    <w:p w:rsidR="005330BF" w:rsidRDefault="00136814">
      <w:pPr>
        <w:pStyle w:val="Heading3"/>
        <w:spacing w:before="145"/>
      </w:pPr>
      <w:r>
        <w:rPr>
          <w:color w:val="58595B"/>
        </w:rPr>
        <w:t>Self-Assessed Health</w:t>
      </w:r>
    </w:p>
    <w:p w:rsidR="005330BF" w:rsidRDefault="00136814">
      <w:pPr>
        <w:pStyle w:val="BodyText"/>
        <w:spacing w:before="190" w:line="278" w:lineRule="auto"/>
        <w:ind w:right="1603"/>
      </w:pPr>
      <w:r>
        <w:t>Participants were asked to rate their health today on a scale from 1 (excellent) to 5 (poor). The vast majority of wage earners rated their health as good,</w:t>
      </w:r>
    </w:p>
    <w:p w:rsidR="005330BF" w:rsidRDefault="00136814">
      <w:pPr>
        <w:pStyle w:val="BodyText"/>
        <w:spacing w:line="278" w:lineRule="auto"/>
        <w:ind w:right="1603"/>
      </w:pPr>
      <w:r>
        <w:t>very good or excellent</w:t>
      </w:r>
      <w:r>
        <w:t xml:space="preserve"> with only 8.7% considering their health to be poor or fair. In contrast, more than three in every five DSP recipients rated their health as poor or fair (61.6%) as did one third of NSA recipients (33.3%).</w:t>
      </w:r>
    </w:p>
    <w:p w:rsidR="005330BF" w:rsidRDefault="00136814">
      <w:pPr>
        <w:pStyle w:val="BodyText"/>
        <w:spacing w:before="150" w:line="278" w:lineRule="auto"/>
        <w:ind w:right="1672"/>
      </w:pPr>
      <w:r>
        <w:t>People receiving the DSP were at 18.3 times more l</w:t>
      </w:r>
      <w:r>
        <w:t>ikely to rate their health as poor (the lowest category) than wage earners and four times more likely to rate their health as fair (the second lowest category). NSA recipients were 6.8 times more likely to rate their health as poor and 3.1 times more likel</w:t>
      </w:r>
      <w:r>
        <w:t>y to rate their health as fair when compared to wage earners.</w:t>
      </w:r>
    </w:p>
    <w:p w:rsidR="005330BF" w:rsidRDefault="00136814">
      <w:pPr>
        <w:pStyle w:val="Heading3"/>
      </w:pPr>
      <w:r>
        <w:rPr>
          <w:color w:val="58595B"/>
        </w:rPr>
        <w:t>Health Conditions</w:t>
      </w:r>
    </w:p>
    <w:p w:rsidR="005330BF" w:rsidRDefault="00136814">
      <w:pPr>
        <w:pStyle w:val="BodyText"/>
        <w:spacing w:before="190" w:line="278" w:lineRule="auto"/>
        <w:ind w:right="1628"/>
      </w:pPr>
      <w:r>
        <w:t>Specific health conditions were grouped together using the categories of the International Statistical Classification of Diseases and Related Disorders version 10 (ICD-10). DSP</w:t>
      </w:r>
      <w:r>
        <w:t xml:space="preserve"> recipients had significantly higher risk of reporting health conditions than wage earners across most ICD-10 disease categories. NSA recipients had significantly higher risk of reporting health conditions than wage earners in half of the disease categorie</w:t>
      </w:r>
      <w:r>
        <w:t>s.</w:t>
      </w:r>
    </w:p>
    <w:p w:rsidR="005330BF" w:rsidRDefault="00136814">
      <w:pPr>
        <w:pStyle w:val="BodyText"/>
        <w:spacing w:before="151" w:line="278" w:lineRule="auto"/>
        <w:ind w:right="1628"/>
      </w:pPr>
      <w:r>
        <w:t>The greatest differences in self-reported prevalence between DSP recipients and wage earners were in the mental and behavioural disorder category.</w:t>
      </w:r>
    </w:p>
    <w:p w:rsidR="005330BF" w:rsidRDefault="00136814">
      <w:pPr>
        <w:pStyle w:val="BodyText"/>
        <w:spacing w:line="278" w:lineRule="auto"/>
        <w:ind w:right="1945"/>
      </w:pPr>
      <w:r>
        <w:t>People receiving the DSP reported a much higher prevalence of mood disorders, anxiety disorders, depressio</w:t>
      </w:r>
      <w:r>
        <w:t>n, obsessive compulsive disorder, alcohol and drug problems, post-traumatic stress disorder and problems of psychological development.</w:t>
      </w:r>
    </w:p>
    <w:p w:rsidR="005330BF" w:rsidRDefault="005330BF">
      <w:pPr>
        <w:spacing w:line="278" w:lineRule="auto"/>
        <w:sectPr w:rsidR="005330BF">
          <w:pgSz w:w="11910" w:h="16840"/>
          <w:pgMar w:top="1060" w:right="540" w:bottom="560" w:left="740" w:header="0" w:footer="290" w:gutter="0"/>
          <w:cols w:space="720"/>
        </w:sectPr>
      </w:pPr>
    </w:p>
    <w:p w:rsidR="005330BF" w:rsidRDefault="00136814">
      <w:pPr>
        <w:pStyle w:val="BodyText"/>
        <w:spacing w:before="47" w:line="278" w:lineRule="auto"/>
        <w:ind w:right="1353"/>
      </w:pPr>
      <w:r>
        <w:t>People in the DSP group had at least 4 times, and up to 50 times, the relative risk of reporting each o</w:t>
      </w:r>
      <w:r>
        <w:t xml:space="preserve">f these specific conditions than people in the wage earners group, reflecting very large differences in risk of these health conditions between the groups. A similar pattern was observed in NSA recipients compared with wage earners, although the magnitude </w:t>
      </w:r>
      <w:r>
        <w:t>of the differences between groups were smaller.</w:t>
      </w:r>
    </w:p>
    <w:p w:rsidR="005330BF" w:rsidRDefault="00136814">
      <w:pPr>
        <w:pStyle w:val="BodyText"/>
        <w:spacing w:before="150" w:line="278" w:lineRule="auto"/>
        <w:ind w:right="1444"/>
      </w:pPr>
      <w:r>
        <w:t>Both DSP and NSA recipients were significantly more likely to report having five or more conditions than wage earners, and less likely to report having fewer than five conditions, demonstrating the complex multi-morbidity in people receiving unemployment a</w:t>
      </w:r>
      <w:r>
        <w:t>nd disability support benefits. It is important to note that the health conditions reported are self-reported by participants – they are not necessarily related to the criteria used to determine eligibility for DSP or NSA benefit payments.</w:t>
      </w:r>
    </w:p>
    <w:p w:rsidR="005330BF" w:rsidRDefault="00136814">
      <w:pPr>
        <w:pStyle w:val="Heading3"/>
      </w:pPr>
      <w:r>
        <w:rPr>
          <w:color w:val="58595B"/>
        </w:rPr>
        <w:t>Consultations wi</w:t>
      </w:r>
      <w:r>
        <w:rPr>
          <w:color w:val="58595B"/>
        </w:rPr>
        <w:t>th Health Professionals</w:t>
      </w:r>
    </w:p>
    <w:p w:rsidR="005330BF" w:rsidRDefault="00136814">
      <w:pPr>
        <w:pStyle w:val="BodyText"/>
        <w:spacing w:before="190" w:line="278" w:lineRule="auto"/>
        <w:ind w:right="1627"/>
      </w:pPr>
      <w:r>
        <w:t>DSP recipients were significantly more likely than wage earners to have accessed a broad array of health services in the past 12 months, including services provided by social workers, psychologists, medical specialists, counsellors,</w:t>
      </w:r>
      <w:r>
        <w:t xml:space="preserve"> nurses, pharmacists, diabetes educators and occupational therapists. People receiving the DSP were also significantly less likely to have visited dentists, chiropractors and osteopaths than wage earners.</w:t>
      </w:r>
    </w:p>
    <w:p w:rsidR="005330BF" w:rsidRDefault="00136814">
      <w:pPr>
        <w:pStyle w:val="BodyText"/>
        <w:spacing w:before="151" w:line="278" w:lineRule="auto"/>
        <w:ind w:right="2024"/>
      </w:pPr>
      <w:r>
        <w:t>People receiving the DSP also visited health profes</w:t>
      </w:r>
      <w:r>
        <w:t>sionals more often. For example, more than two in every five (42.6%) DSP recipients visited</w:t>
      </w:r>
      <w:r>
        <w:rPr>
          <w:spacing w:val="-21"/>
        </w:rPr>
        <w:t xml:space="preserve"> </w:t>
      </w:r>
      <w:r>
        <w:t>a</w:t>
      </w:r>
    </w:p>
    <w:p w:rsidR="005330BF" w:rsidRDefault="00136814">
      <w:pPr>
        <w:pStyle w:val="BodyText"/>
        <w:spacing w:line="278" w:lineRule="auto"/>
        <w:ind w:right="1615"/>
      </w:pPr>
      <w:r>
        <w:t>General Practitioner more than 10 times in the previous 12 months, compared to less than 5% of wage earners and 19% of NSA recipients.</w:t>
      </w:r>
    </w:p>
    <w:p w:rsidR="005330BF" w:rsidRDefault="00136814">
      <w:pPr>
        <w:pStyle w:val="BodyText"/>
        <w:spacing w:before="150" w:line="278" w:lineRule="auto"/>
        <w:ind w:right="1605"/>
      </w:pPr>
      <w:r>
        <w:t>Newstart recipients were si</w:t>
      </w:r>
      <w:r>
        <w:t>gnificantly more likely than wage earners to have accessed health services provided by social workers, psychologists, counsellors, nurses, and chemists, and were less likely than wage earners to have visited a dentist, a chiropractor, an osteopath, or a ph</w:t>
      </w:r>
      <w:r>
        <w:t>ysiotherapist in the preceding 12 months.</w:t>
      </w:r>
    </w:p>
    <w:p w:rsidR="005330BF" w:rsidRDefault="00136814">
      <w:pPr>
        <w:pStyle w:val="Heading3"/>
      </w:pPr>
      <w:r>
        <w:rPr>
          <w:color w:val="58595B"/>
        </w:rPr>
        <w:t>Hospitalisation</w:t>
      </w:r>
    </w:p>
    <w:p w:rsidR="005330BF" w:rsidRDefault="00136814">
      <w:pPr>
        <w:pStyle w:val="BodyText"/>
        <w:spacing w:before="190" w:line="278" w:lineRule="auto"/>
        <w:ind w:right="1578"/>
      </w:pPr>
      <w:r>
        <w:t>The prevalence and frequency of hospitalization varied significantly between groups. More than one quarter (25.7%) of DSP recipients reported being admitted as a hospital inpatient in the previous 1</w:t>
      </w:r>
      <w:r>
        <w:t>2 months and nearly one- quarter (23.3%) reported at least one visit to an emergency department. DSP recipients were at 2 to 3 times the risk of visiting a hospital than wage earners, while NSA</w:t>
      </w:r>
      <w:r>
        <w:rPr>
          <w:spacing w:val="-46"/>
        </w:rPr>
        <w:t xml:space="preserve"> </w:t>
      </w:r>
      <w:r>
        <w:t>recipients were at 1.5 to 2 times increased risk than wage ear</w:t>
      </w:r>
      <w:r>
        <w:t>ners.</w:t>
      </w:r>
    </w:p>
    <w:p w:rsidR="005330BF" w:rsidRDefault="00136814">
      <w:pPr>
        <w:pStyle w:val="BodyText"/>
        <w:spacing w:before="151" w:line="278" w:lineRule="auto"/>
        <w:ind w:right="1714"/>
      </w:pPr>
      <w:r>
        <w:t>People receiving DSP benefits were significantly more likely to have had 2 or more hospital admissions, 2 or more visits to an emergency department and 2 or more visits to an outpatient or day clinic in the preceding 12 months</w:t>
      </w:r>
      <w:r>
        <w:rPr>
          <w:spacing w:val="-33"/>
        </w:rPr>
        <w:t xml:space="preserve"> </w:t>
      </w:r>
      <w:r>
        <w:t>than</w:t>
      </w:r>
    </w:p>
    <w:p w:rsidR="005330BF" w:rsidRDefault="00136814">
      <w:pPr>
        <w:pStyle w:val="BodyText"/>
        <w:spacing w:line="278" w:lineRule="auto"/>
        <w:ind w:right="1225"/>
      </w:pPr>
      <w:r>
        <w:t>wage earners. A si</w:t>
      </w:r>
      <w:r>
        <w:t>milar pattern was observed in NSA recipients compared with wage earners.</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Heading3"/>
        <w:spacing w:before="45"/>
      </w:pPr>
      <w:r>
        <w:rPr>
          <w:color w:val="58595B"/>
        </w:rPr>
        <w:t>Medication &amp; Supplement Use</w:t>
      </w:r>
    </w:p>
    <w:p w:rsidR="005330BF" w:rsidRDefault="00136814">
      <w:pPr>
        <w:pStyle w:val="BodyText"/>
        <w:spacing w:before="190" w:line="278" w:lineRule="auto"/>
        <w:ind w:right="1517"/>
      </w:pPr>
      <w:r>
        <w:t>People receiving the DSP were also more likely to use medications than wage earners. Medications were categorized using the international</w:t>
      </w:r>
      <w:r>
        <w:t xml:space="preserve"> Anatomical Therapeutic Chemical (ATC) Classification system. DSP recipients had a significantly greater risk of having used a medication in the previous two weeks in 11 of 12 different ATC categories, when compared with wage earners.</w:t>
      </w:r>
    </w:p>
    <w:p w:rsidR="005330BF" w:rsidRDefault="00136814">
      <w:pPr>
        <w:pStyle w:val="BodyText"/>
        <w:spacing w:line="278" w:lineRule="auto"/>
        <w:ind w:right="2251"/>
      </w:pPr>
      <w:r>
        <w:t>DSP recipients also r</w:t>
      </w:r>
      <w:r>
        <w:t>eported a significantly higher rate of using multiple medications than wage earners (polypharmacy).</w:t>
      </w:r>
    </w:p>
    <w:p w:rsidR="005330BF" w:rsidRDefault="00136814">
      <w:pPr>
        <w:pStyle w:val="BodyText"/>
        <w:spacing w:before="150" w:line="278" w:lineRule="auto"/>
        <w:ind w:right="1628"/>
      </w:pPr>
      <w:r>
        <w:t>NSA recipients had a greater risk of having used a medication in the previous two weeks in 4 of 12 different ATC medicine categories when compared with wage earners. The largest increase in risk was for nervous system, musculoskeletal, and alimentary tract</w:t>
      </w:r>
      <w:r>
        <w:t xml:space="preserve"> and metabolism medications.</w:t>
      </w:r>
    </w:p>
    <w:p w:rsidR="005330BF" w:rsidRDefault="00136814">
      <w:pPr>
        <w:pStyle w:val="BodyText"/>
        <w:spacing w:line="278" w:lineRule="auto"/>
        <w:ind w:right="1288"/>
      </w:pPr>
      <w:r>
        <w:t>People receiving the NSA were also more likely to use multiple medications than wage earners, though this effect was less pronounced than for DSP recipients. The rate of supplement use in reference to wage earners was significa</w:t>
      </w:r>
      <w:r>
        <w:t>ntly lower in both DSP recipients and NSA recipients.</w:t>
      </w:r>
    </w:p>
    <w:p w:rsidR="005330BF" w:rsidRDefault="00136814">
      <w:pPr>
        <w:pStyle w:val="Heading3"/>
      </w:pPr>
      <w:r>
        <w:rPr>
          <w:color w:val="58595B"/>
        </w:rPr>
        <w:t>Conclusions &amp; Implications</w:t>
      </w:r>
    </w:p>
    <w:p w:rsidR="005330BF" w:rsidRDefault="00136814">
      <w:pPr>
        <w:pStyle w:val="BodyText"/>
        <w:spacing w:before="190" w:line="278" w:lineRule="auto"/>
        <w:ind w:right="1529"/>
      </w:pPr>
      <w:r>
        <w:t xml:space="preserve">This study found that people receiving DSP benefits report a much greater rate of ill health than wage earners across a range of disease categories, are more likely to report having multiple health conditions, are more likely to be hospitalised, are heavy </w:t>
      </w:r>
      <w:r>
        <w:t>users of healthcare services and have higher self- reported rates of medicine use and polypharmacy compared to wage earners.</w:t>
      </w:r>
    </w:p>
    <w:p w:rsidR="005330BF" w:rsidRDefault="00136814">
      <w:pPr>
        <w:pStyle w:val="BodyText"/>
        <w:spacing w:before="151" w:line="278" w:lineRule="auto"/>
        <w:ind w:right="1409"/>
      </w:pPr>
      <w:r>
        <w:t>Similar to the DSP group, Australians receiving the NSA report an increased prevalence of disease in multiple categories, have a hi</w:t>
      </w:r>
      <w:r>
        <w:t>gher rate of multi- morbidity, are more likely to use some health services and be hospitalised, and have a higher rate of multiple episodes of health service use than wage earners. While the magnitude of these effects are not as large as those observed for</w:t>
      </w:r>
      <w:r>
        <w:t xml:space="preserve"> DSP recipients, our findings confirm a significantly increased burden of ill health in</w:t>
      </w:r>
      <w:r>
        <w:rPr>
          <w:spacing w:val="-15"/>
        </w:rPr>
        <w:t xml:space="preserve"> </w:t>
      </w:r>
      <w:r>
        <w:t>Australian</w:t>
      </w:r>
      <w:r>
        <w:rPr>
          <w:spacing w:val="-2"/>
        </w:rPr>
        <w:t xml:space="preserve"> </w:t>
      </w:r>
      <w:r>
        <w:t>NSA</w:t>
      </w:r>
      <w:r>
        <w:rPr>
          <w:spacing w:val="-13"/>
        </w:rPr>
        <w:t xml:space="preserve"> </w:t>
      </w:r>
      <w:r>
        <w:t>recipients</w:t>
      </w:r>
      <w:r>
        <w:rPr>
          <w:spacing w:val="-2"/>
        </w:rPr>
        <w:t xml:space="preserve"> </w:t>
      </w:r>
      <w:r>
        <w:t>compared</w:t>
      </w:r>
      <w:r>
        <w:rPr>
          <w:spacing w:val="-2"/>
        </w:rPr>
        <w:t xml:space="preserve"> </w:t>
      </w:r>
      <w:r>
        <w:t>with</w:t>
      </w:r>
      <w:r>
        <w:rPr>
          <w:spacing w:val="-3"/>
        </w:rPr>
        <w:t xml:space="preserve"> </w:t>
      </w:r>
      <w:r>
        <w:t>employed</w:t>
      </w:r>
      <w:r>
        <w:rPr>
          <w:spacing w:val="-3"/>
        </w:rPr>
        <w:t xml:space="preserve"> </w:t>
      </w:r>
      <w:r>
        <w:t>people</w:t>
      </w:r>
      <w:r>
        <w:rPr>
          <w:spacing w:val="-3"/>
        </w:rPr>
        <w:t xml:space="preserve"> </w:t>
      </w:r>
      <w:r>
        <w:t>of</w:t>
      </w:r>
      <w:r>
        <w:rPr>
          <w:spacing w:val="-3"/>
        </w:rPr>
        <w:t xml:space="preserve"> </w:t>
      </w:r>
      <w:r>
        <w:t>working</w:t>
      </w:r>
      <w:r>
        <w:rPr>
          <w:spacing w:val="-2"/>
        </w:rPr>
        <w:t xml:space="preserve"> </w:t>
      </w:r>
      <w:r>
        <w:t>age.</w:t>
      </w:r>
    </w:p>
    <w:p w:rsidR="005330BF" w:rsidRDefault="00136814">
      <w:pPr>
        <w:pStyle w:val="BodyText"/>
        <w:spacing w:before="150" w:line="278" w:lineRule="auto"/>
        <w:ind w:right="1288"/>
      </w:pPr>
      <w:r>
        <w:t>For both DSP and NSA recipients, the largest differences from wage earners are in the areas of m</w:t>
      </w:r>
      <w:r>
        <w:t>ental and behavioural health.</w:t>
      </w:r>
    </w:p>
    <w:p w:rsidR="005330BF" w:rsidRDefault="00136814">
      <w:pPr>
        <w:pStyle w:val="BodyText"/>
        <w:spacing w:before="150" w:line="278" w:lineRule="auto"/>
        <w:ind w:right="1628"/>
      </w:pPr>
      <w:r>
        <w:t>Poor health and disability are substantial barriers to finding and maintaining employment. Actions that promote the health of DSP and NSA recipients will support improvements in the ability of people receiving these benefits t</w:t>
      </w:r>
      <w:r>
        <w:t>o find jobs and keep them. There are multiple opportunities for government to take actions that improve the health of people receiving these benefits.</w:t>
      </w:r>
    </w:p>
    <w:p w:rsidR="005330BF" w:rsidRDefault="00136814">
      <w:pPr>
        <w:pStyle w:val="BodyText"/>
        <w:spacing w:before="151" w:line="278" w:lineRule="auto"/>
        <w:ind w:right="1859"/>
      </w:pPr>
      <w:r>
        <w:t>Health can be improved by delivering tailored health services. For example, it may be feasible to identif</w:t>
      </w:r>
      <w:r>
        <w:t>y the individual health needs of DSP and NSA</w:t>
      </w:r>
    </w:p>
    <w:p w:rsidR="005330BF" w:rsidRDefault="00136814">
      <w:pPr>
        <w:pStyle w:val="BodyText"/>
        <w:spacing w:line="278" w:lineRule="auto"/>
        <w:ind w:right="1419"/>
      </w:pPr>
      <w:r>
        <w:t>recipients at the point of entry to the welfare system, and then deliver targeted health services that address those needs. Improving access to health services, including those that incur significant ‘out of poc</w:t>
      </w:r>
      <w:r>
        <w:t>ket’ costs such as physical therapy and dentistry and are less accessible for benefit recipients, may support improvements in health. Identifying people with particularly complex or acute health needs, or those at greater risk of hospitalization, may enabl</w:t>
      </w:r>
      <w:r>
        <w:t>e intervention to prevent health shocks.</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BodyText"/>
        <w:spacing w:before="47" w:line="278" w:lineRule="auto"/>
        <w:ind w:right="2152"/>
      </w:pPr>
      <w:r>
        <w:t>Health can be improved by addressing the social determinants of health. These are the conditions in which we are born, grow, work, live and age.</w:t>
      </w:r>
    </w:p>
    <w:p w:rsidR="005330BF" w:rsidRDefault="00136814">
      <w:pPr>
        <w:pStyle w:val="BodyText"/>
        <w:spacing w:line="278" w:lineRule="auto"/>
        <w:ind w:right="1602"/>
      </w:pPr>
      <w:r>
        <w:t>They include things such as access to housing and nu</w:t>
      </w:r>
      <w:r>
        <w:t>trition, support services, social inclusion, education and training. Poverty and financial distress are linked with poor health and reduced ability to participate in employment.</w:t>
      </w:r>
    </w:p>
    <w:p w:rsidR="005330BF" w:rsidRDefault="00136814">
      <w:pPr>
        <w:pStyle w:val="BodyText"/>
        <w:spacing w:line="278" w:lineRule="auto"/>
        <w:ind w:right="1859"/>
      </w:pPr>
      <w:r>
        <w:t>Actions that reduce the rate of poverty and serious financial stress amongst D</w:t>
      </w:r>
      <w:r>
        <w:t>SP and NSA recipients are thus likely to have a net positive impact</w:t>
      </w:r>
    </w:p>
    <w:p w:rsidR="005330BF" w:rsidRDefault="00136814">
      <w:pPr>
        <w:pStyle w:val="BodyText"/>
      </w:pPr>
      <w:r>
        <w:t>on health.</w:t>
      </w:r>
    </w:p>
    <w:p w:rsidR="005330BF" w:rsidRDefault="00136814">
      <w:pPr>
        <w:pStyle w:val="BodyText"/>
        <w:spacing w:before="192" w:line="278" w:lineRule="auto"/>
        <w:ind w:right="1744"/>
        <w:jc w:val="both"/>
      </w:pPr>
      <w:r>
        <w:t>Health, and particularly mental health, can also be improved by reducing the burden of engaging with government. The psychological costs of applying for benefits and complying w</w:t>
      </w:r>
      <w:r>
        <w:t>ith bureaucratic processes can be substantial.</w:t>
      </w:r>
    </w:p>
    <w:p w:rsidR="005330BF" w:rsidRDefault="00136814">
      <w:pPr>
        <w:pStyle w:val="BodyText"/>
        <w:spacing w:line="278" w:lineRule="auto"/>
        <w:ind w:right="1628"/>
      </w:pPr>
      <w:r>
        <w:t xml:space="preserve">People with cognitive, intellectual or psychological conditions and those with less education, smaller support networks or other vulnerabilities are more likely to be adversely affected. Actions such as simplifying benefit application processes or funding </w:t>
      </w:r>
      <w:r>
        <w:t>services that can support people with disabilities to engage with Centrelink are likely to reduce the potentially adverse psychological impact of engaging with the welfare system.</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Heading1"/>
      </w:pPr>
      <w:bookmarkStart w:id="5" w:name="Introduction"/>
      <w:bookmarkStart w:id="6" w:name="_bookmark2"/>
      <w:bookmarkEnd w:id="5"/>
      <w:bookmarkEnd w:id="6"/>
      <w:r>
        <w:rPr>
          <w:color w:val="58595B"/>
        </w:rPr>
        <w:t>Introduction</w:t>
      </w:r>
    </w:p>
    <w:p w:rsidR="005330BF" w:rsidRDefault="00136814">
      <w:pPr>
        <w:pStyle w:val="BodyText"/>
        <w:spacing w:before="411" w:line="278" w:lineRule="auto"/>
        <w:ind w:right="1597"/>
      </w:pPr>
      <w:r>
        <w:t xml:space="preserve">The Disability Support Pension (DSP) and the </w:t>
      </w:r>
      <w:r>
        <w:t>Newstart Allowance (NSA) are the two major Commonwealth social assistance programs for people of working age. The DSP is designed to provide financial support to people with permanent physical, intellectual or psychiatric impairments that prevent them from</w:t>
      </w:r>
      <w:r>
        <w:t xml:space="preserve"> engaging in employment. The NSA provides financial support to people who are unemployed and are looking for work. The benefits provided under the two programs differ substantially. The common fortnightly payment rate for a single person residing in Austra</w:t>
      </w:r>
      <w:r>
        <w:t>lia and receiving the DSP is $926.20</w:t>
      </w:r>
    </w:p>
    <w:p w:rsidR="005330BF" w:rsidRDefault="00136814">
      <w:pPr>
        <w:pStyle w:val="BodyText"/>
        <w:spacing w:before="1" w:line="278" w:lineRule="auto"/>
        <w:ind w:right="1871"/>
        <w:rPr>
          <w:sz w:val="13"/>
        </w:rPr>
      </w:pPr>
      <w:r>
        <w:t xml:space="preserve">(as at 20 March 2019). In contrast, the common fortnightly rate for a single person without children receiving the NSA is much lower at $555.70, excluding any additional supplements or allowances. Most people receiving </w:t>
      </w:r>
      <w:r>
        <w:t>the NSA also have obligations to participate in job seeking.</w:t>
      </w:r>
      <w:hyperlink w:anchor="_bookmark53" w:history="1">
        <w:r>
          <w:rPr>
            <w:color w:val="25408F"/>
            <w:position w:val="7"/>
            <w:sz w:val="13"/>
          </w:rPr>
          <w:t>[1]</w:t>
        </w:r>
      </w:hyperlink>
    </w:p>
    <w:p w:rsidR="005330BF" w:rsidRDefault="00136814">
      <w:pPr>
        <w:pStyle w:val="BodyText"/>
        <w:spacing w:before="150" w:line="278" w:lineRule="auto"/>
        <w:ind w:right="1628"/>
      </w:pPr>
      <w:r>
        <w:t xml:space="preserve">Approximately 750,000 Australians receive the </w:t>
      </w:r>
      <w:r>
        <w:rPr>
          <w:spacing w:val="-5"/>
        </w:rPr>
        <w:t>DSP.</w:t>
      </w:r>
      <w:hyperlink w:anchor="_bookmark53" w:history="1">
        <w:r>
          <w:rPr>
            <w:color w:val="25408F"/>
            <w:spacing w:val="-5"/>
            <w:position w:val="7"/>
            <w:sz w:val="13"/>
          </w:rPr>
          <w:t>[2]</w:t>
        </w:r>
      </w:hyperlink>
      <w:r>
        <w:rPr>
          <w:color w:val="25408F"/>
          <w:spacing w:val="-5"/>
          <w:position w:val="7"/>
          <w:sz w:val="13"/>
        </w:rPr>
        <w:t xml:space="preserve"> </w:t>
      </w:r>
      <w:r>
        <w:t>The annual expenditure of DSP benefits approaches $17 billion, and 52% of re</w:t>
      </w:r>
      <w:r>
        <w:t>cipients enrolled at June 2018 had received the DSP for more than 10 years.</w:t>
      </w:r>
      <w:hyperlink w:anchor="_bookmark53" w:history="1">
        <w:r>
          <w:rPr>
            <w:color w:val="25408F"/>
            <w:position w:val="7"/>
            <w:sz w:val="13"/>
          </w:rPr>
          <w:t>[3]</w:t>
        </w:r>
      </w:hyperlink>
      <w:r>
        <w:rPr>
          <w:color w:val="25408F"/>
          <w:position w:val="7"/>
          <w:sz w:val="13"/>
        </w:rPr>
        <w:t xml:space="preserve"> </w:t>
      </w:r>
      <w:r>
        <w:t>The total lifetime cost of the DSP scheme to government has been estimated at $338 billion.</w:t>
      </w:r>
      <w:hyperlink w:anchor="_bookmark53" w:history="1">
        <w:r>
          <w:rPr>
            <w:color w:val="25408F"/>
            <w:position w:val="7"/>
            <w:sz w:val="13"/>
          </w:rPr>
          <w:t>[</w:t>
        </w:r>
      </w:hyperlink>
      <w:hyperlink w:anchor="_bookmark54" w:history="1">
        <w:r>
          <w:rPr>
            <w:color w:val="25408F"/>
            <w:position w:val="7"/>
            <w:sz w:val="13"/>
          </w:rPr>
          <w:t>4]</w:t>
        </w:r>
      </w:hyperlink>
      <w:r>
        <w:rPr>
          <w:color w:val="25408F"/>
          <w:position w:val="7"/>
          <w:sz w:val="13"/>
        </w:rPr>
        <w:t xml:space="preserve"> </w:t>
      </w:r>
      <w:r>
        <w:t>Approximately 715,000 Australians receive the NSA of whom 545,000 are considered long term recipients having received the Allowance for 12 months or more.</w:t>
      </w:r>
      <w:hyperlink w:anchor="_bookmark53" w:history="1">
        <w:r>
          <w:rPr>
            <w:color w:val="25408F"/>
            <w:position w:val="7"/>
            <w:sz w:val="13"/>
          </w:rPr>
          <w:t xml:space="preserve">[2, 5] </w:t>
        </w:r>
      </w:hyperlink>
      <w:r>
        <w:t xml:space="preserve">Annual Commonwealth expenditure on income support for job seekers via the NSA and </w:t>
      </w:r>
      <w:r>
        <w:rPr>
          <w:spacing w:val="-5"/>
        </w:rPr>
        <w:t xml:space="preserve">Youth </w:t>
      </w:r>
      <w:r>
        <w:t xml:space="preserve">Allowance is </w:t>
      </w:r>
      <w:r>
        <w:rPr>
          <w:spacing w:val="-4"/>
        </w:rPr>
        <w:t xml:space="preserve">$11.1 </w:t>
      </w:r>
      <w:r>
        <w:t>billion.</w:t>
      </w:r>
    </w:p>
    <w:p w:rsidR="005330BF" w:rsidRDefault="00136814">
      <w:pPr>
        <w:pStyle w:val="BodyText"/>
        <w:spacing w:before="150" w:line="278" w:lineRule="auto"/>
        <w:ind w:right="1623"/>
      </w:pPr>
      <w:r>
        <w:t>Historically, the DSP has been one of the fastest growing government social assistance programs. Recent policy changes have slowed this grow</w:t>
      </w:r>
      <w:r>
        <w:t>th. These include for example the 2012 “Job Readiness” reforms and the 2015 reform to the DSP medical assessment processes.</w:t>
      </w:r>
      <w:hyperlink w:anchor="_bookmark53" w:history="1">
        <w:r>
          <w:rPr>
            <w:color w:val="25408F"/>
            <w:position w:val="7"/>
            <w:sz w:val="13"/>
          </w:rPr>
          <w:t>[</w:t>
        </w:r>
      </w:hyperlink>
      <w:hyperlink w:anchor="_bookmark53" w:history="1">
        <w:r>
          <w:rPr>
            <w:color w:val="25408F"/>
            <w:position w:val="7"/>
            <w:sz w:val="13"/>
          </w:rPr>
          <w:t>6, 7]</w:t>
        </w:r>
      </w:hyperlink>
      <w:r>
        <w:rPr>
          <w:color w:val="25408F"/>
          <w:position w:val="7"/>
          <w:sz w:val="13"/>
        </w:rPr>
        <w:t xml:space="preserve"> </w:t>
      </w:r>
      <w:r>
        <w:t xml:space="preserve">The number of new DSP claims granted has fallen from 89,561 per </w:t>
      </w:r>
      <w:r>
        <w:t>annum in 2010—11 to 31,000 (2017/18) corresponding with a decline in the overall number of DSP recipients to 756,960 in 2017/18 from a high of 827,460 in 2011/12.</w:t>
      </w:r>
      <w:hyperlink w:anchor="_bookmark53" w:history="1">
        <w:r>
          <w:rPr>
            <w:color w:val="25408F"/>
            <w:position w:val="7"/>
            <w:sz w:val="13"/>
          </w:rPr>
          <w:t xml:space="preserve">[8] </w:t>
        </w:r>
      </w:hyperlink>
      <w:r>
        <w:t xml:space="preserve">At the same time, the number of NSA recipients assessed as </w:t>
      </w:r>
      <w:r>
        <w:t>having a partial capacity to work due to illness or disability grew by 83% to 199,907. This growth rate is nearly 3.5 times faster than the growth in the total number of NSA recipients over the same period (26%). These figures demonstrate the interdependen</w:t>
      </w:r>
      <w:r>
        <w:t>cy between the DSP and NSA programs, with policy changes in one program affecting</w:t>
      </w:r>
    </w:p>
    <w:p w:rsidR="005330BF" w:rsidRDefault="00136814">
      <w:pPr>
        <w:pStyle w:val="BodyText"/>
        <w:spacing w:before="1"/>
      </w:pPr>
      <w:r>
        <w:t>the other.</w:t>
      </w:r>
    </w:p>
    <w:p w:rsidR="005330BF" w:rsidRDefault="005330BF">
      <w:pPr>
        <w:sectPr w:rsidR="005330BF">
          <w:pgSz w:w="11910" w:h="16840"/>
          <w:pgMar w:top="1060" w:right="540" w:bottom="560" w:left="740" w:header="0" w:footer="290" w:gutter="0"/>
          <w:cols w:space="720"/>
        </w:sectPr>
      </w:pPr>
    </w:p>
    <w:p w:rsidR="005330BF" w:rsidRDefault="00136814">
      <w:pPr>
        <w:pStyle w:val="BodyText"/>
        <w:spacing w:before="47" w:line="278" w:lineRule="auto"/>
        <w:ind w:right="1651"/>
        <w:rPr>
          <w:sz w:val="13"/>
        </w:rPr>
      </w:pPr>
      <w:bookmarkStart w:id="7" w:name="_bookmark3"/>
      <w:bookmarkEnd w:id="7"/>
      <w:r>
        <w:t>The relationship between receiving social assistance benefits and poor health is well established. Internationally, studies have shown that unemp</w:t>
      </w:r>
      <w:r>
        <w:t>loyment and benefit receipt is associated with higher mortality and morbidity.</w:t>
      </w:r>
      <w:hyperlink w:anchor="_bookmark53" w:history="1">
        <w:r>
          <w:rPr>
            <w:color w:val="25408F"/>
            <w:position w:val="7"/>
            <w:sz w:val="13"/>
          </w:rPr>
          <w:t>[</w:t>
        </w:r>
      </w:hyperlink>
      <w:hyperlink w:anchor="_bookmark53" w:history="1">
        <w:r>
          <w:rPr>
            <w:color w:val="25408F"/>
            <w:position w:val="7"/>
            <w:sz w:val="13"/>
          </w:rPr>
          <w:t>9,10]</w:t>
        </w:r>
      </w:hyperlink>
      <w:r>
        <w:rPr>
          <w:color w:val="25408F"/>
          <w:position w:val="7"/>
          <w:sz w:val="13"/>
        </w:rPr>
        <w:t xml:space="preserve"> </w:t>
      </w:r>
      <w:r>
        <w:t>Australian studies of the health status of benefit recipients have typically focused on the relationship betw</w:t>
      </w:r>
      <w:r>
        <w:t>een benefit receipt and mental health. For example, Butterworth and colleagues’ analysis of the 2007 National Mental Health Survey demonstrated that the prevalence of mental disorders was significantly higher among Australians receiving unemployment benefi</w:t>
      </w:r>
      <w:r>
        <w:t>ts, parenting payments and the DSP compared with non-recipients.</w:t>
      </w:r>
      <w:hyperlink w:anchor="_bookmark53" w:history="1">
        <w:r>
          <w:rPr>
            <w:color w:val="25408F"/>
            <w:position w:val="7"/>
            <w:sz w:val="13"/>
          </w:rPr>
          <w:t>[11]</w:t>
        </w:r>
      </w:hyperlink>
    </w:p>
    <w:p w:rsidR="005330BF" w:rsidRDefault="00136814">
      <w:pPr>
        <w:pStyle w:val="BodyText"/>
        <w:spacing w:line="278" w:lineRule="auto"/>
        <w:ind w:right="1627"/>
        <w:rPr>
          <w:sz w:val="13"/>
        </w:rPr>
      </w:pPr>
      <w:r>
        <w:t xml:space="preserve">A more recent analysis of longitudinal data from the Household Labour and Income Dynamics in Australia (HILDA) study demonstrated that the greatest decline </w:t>
      </w:r>
      <w:r>
        <w:t>in mental health occurred during the transition period to DSP payments for people with disabilities, and the transition to parenting payments for single parents.</w:t>
      </w:r>
      <w:hyperlink w:anchor="_bookmark53" w:history="1">
        <w:r>
          <w:rPr>
            <w:color w:val="25408F"/>
            <w:position w:val="7"/>
            <w:sz w:val="13"/>
          </w:rPr>
          <w:t>[12]</w:t>
        </w:r>
      </w:hyperlink>
      <w:r>
        <w:rPr>
          <w:color w:val="25408F"/>
          <w:position w:val="7"/>
          <w:sz w:val="13"/>
        </w:rPr>
        <w:t xml:space="preserve"> </w:t>
      </w:r>
      <w:r>
        <w:t>There is also international evidence that restricting acces</w:t>
      </w:r>
      <w:r>
        <w:t xml:space="preserve">s to disability insurance benefits contributes to growth in the number of people with significant health concerns enrolled in unemployment benefit programs </w:t>
      </w:r>
      <w:hyperlink w:anchor="_bookmark53" w:history="1">
        <w:r>
          <w:rPr>
            <w:color w:val="25408F"/>
            <w:position w:val="7"/>
            <w:sz w:val="13"/>
          </w:rPr>
          <w:t>[13]</w:t>
        </w:r>
      </w:hyperlink>
      <w:r>
        <w:t>, and potentially exacerbates or increases the burden of ill heal</w:t>
      </w:r>
      <w:r>
        <w:t xml:space="preserve">th in this population. </w:t>
      </w:r>
      <w:hyperlink w:anchor="_bookmark55" w:history="1">
        <w:r>
          <w:rPr>
            <w:color w:val="25408F"/>
            <w:position w:val="7"/>
            <w:sz w:val="13"/>
          </w:rPr>
          <w:t>[</w:t>
        </w:r>
      </w:hyperlink>
      <w:hyperlink w:anchor="_bookmark54" w:history="1">
        <w:r>
          <w:rPr>
            <w:color w:val="25408F"/>
            <w:position w:val="7"/>
            <w:sz w:val="13"/>
          </w:rPr>
          <w:t>13</w:t>
        </w:r>
      </w:hyperlink>
      <w:hyperlink w:anchor="_bookmark53" w:history="1">
        <w:r>
          <w:rPr>
            <w:color w:val="25408F"/>
            <w:position w:val="7"/>
            <w:sz w:val="13"/>
          </w:rPr>
          <w:t>,14,15]</w:t>
        </w:r>
      </w:hyperlink>
    </w:p>
    <w:p w:rsidR="005330BF" w:rsidRDefault="00136814">
      <w:pPr>
        <w:pStyle w:val="BodyText"/>
        <w:spacing w:before="151" w:line="278" w:lineRule="auto"/>
        <w:ind w:right="1628"/>
      </w:pPr>
      <w:r>
        <w:t xml:space="preserve">Despite the DSP and NSA being two of the largest sources of income support for people who are unemployed and have complex health </w:t>
      </w:r>
      <w:r>
        <w:t>conditions, most current studies are about specific groups (e.g., defined by their condition or disability) or focus on a specific health outcome (e.g., mental health).</w:t>
      </w:r>
    </w:p>
    <w:p w:rsidR="005330BF" w:rsidRDefault="00136814">
      <w:pPr>
        <w:pStyle w:val="BodyText"/>
        <w:spacing w:line="278" w:lineRule="auto"/>
        <w:ind w:right="2128"/>
      </w:pPr>
      <w:r>
        <w:t xml:space="preserve">There are also few studies that have focused on both groups, and little is known about </w:t>
      </w:r>
      <w:r>
        <w:t>the number and pattern of health conditions across these populations. The recent changes in the profile of both the DSP and NSA programs suggests a need to update knowledge of the health status of people receiving benefits under both programs.</w:t>
      </w:r>
    </w:p>
    <w:p w:rsidR="005330BF" w:rsidRDefault="00136814">
      <w:pPr>
        <w:pStyle w:val="BodyText"/>
        <w:spacing w:before="150" w:line="278" w:lineRule="auto"/>
        <w:ind w:right="1614"/>
      </w:pPr>
      <w:r>
        <w:t>Relatively l</w:t>
      </w:r>
      <w:r>
        <w:t>ittle is known about the extent and patterns of health service use in people receiving disability benefits, despite this group having complex</w:t>
      </w:r>
      <w:r>
        <w:rPr>
          <w:spacing w:val="-44"/>
        </w:rPr>
        <w:t xml:space="preserve"> </w:t>
      </w:r>
      <w:r>
        <w:t>medical conditions and thus likely to be heavy users of health services. Effective health service delivery may sup</w:t>
      </w:r>
      <w:r>
        <w:t>port reductions in disability and improvements in the ability to participate in work. An enhanced understanding of health service use among Australian benefit recipients would therefore support the design and delivery of both social services and public hea</w:t>
      </w:r>
      <w:r>
        <w:t>lth</w:t>
      </w:r>
      <w:r>
        <w:rPr>
          <w:spacing w:val="-21"/>
        </w:rPr>
        <w:t xml:space="preserve"> </w:t>
      </w:r>
      <w:r>
        <w:t>policy</w:t>
      </w:r>
    </w:p>
    <w:p w:rsidR="005330BF" w:rsidRDefault="00136814">
      <w:pPr>
        <w:pStyle w:val="BodyText"/>
        <w:spacing w:before="1"/>
      </w:pPr>
      <w:r>
        <w:t>and programs.</w:t>
      </w:r>
    </w:p>
    <w:p w:rsidR="005330BF" w:rsidRDefault="005330BF">
      <w:pPr>
        <w:sectPr w:rsidR="005330BF">
          <w:pgSz w:w="11910" w:h="16840"/>
          <w:pgMar w:top="1160" w:right="540" w:bottom="560" w:left="740" w:header="0" w:footer="290" w:gutter="0"/>
          <w:cols w:space="720"/>
        </w:sectPr>
      </w:pPr>
    </w:p>
    <w:p w:rsidR="005330BF" w:rsidRDefault="00136814">
      <w:pPr>
        <w:pStyle w:val="Heading1"/>
      </w:pPr>
      <w:bookmarkStart w:id="8" w:name="Study_Objectives"/>
      <w:bookmarkStart w:id="9" w:name="Methodology"/>
      <w:bookmarkStart w:id="10" w:name="National_Health_Survey"/>
      <w:bookmarkStart w:id="11" w:name="_bookmark4"/>
      <w:bookmarkEnd w:id="8"/>
      <w:bookmarkEnd w:id="9"/>
      <w:bookmarkEnd w:id="10"/>
      <w:bookmarkEnd w:id="11"/>
      <w:r>
        <w:rPr>
          <w:color w:val="58595B"/>
        </w:rPr>
        <w:t>Study Objectives</w:t>
      </w:r>
    </w:p>
    <w:p w:rsidR="005330BF" w:rsidRDefault="00136814">
      <w:pPr>
        <w:pStyle w:val="BodyText"/>
        <w:spacing w:before="411" w:line="278" w:lineRule="auto"/>
        <w:ind w:right="1908"/>
      </w:pPr>
      <w:r>
        <w:t>The study aims to provide new information around the health status and health service use of DSP and NSA recipients. The study aims to provide information that can be used for effective health care and social policy planning and delivery in these vulnerabl</w:t>
      </w:r>
      <w:r>
        <w:t>e groups.</w:t>
      </w:r>
    </w:p>
    <w:p w:rsidR="005330BF" w:rsidRDefault="00136814">
      <w:pPr>
        <w:pStyle w:val="BodyText"/>
        <w:spacing w:before="150"/>
      </w:pPr>
      <w:r>
        <w:t>Specifically, in this report we aim to:</w:t>
      </w:r>
    </w:p>
    <w:p w:rsidR="005330BF" w:rsidRDefault="00136814">
      <w:pPr>
        <w:pStyle w:val="ListParagraph"/>
        <w:numPr>
          <w:ilvl w:val="0"/>
          <w:numId w:val="5"/>
        </w:numPr>
        <w:tabs>
          <w:tab w:val="left" w:pos="1774"/>
        </w:tabs>
        <w:spacing w:before="190" w:line="276" w:lineRule="auto"/>
        <w:ind w:right="2079"/>
      </w:pPr>
      <w:r>
        <w:t>Characterise the health conditions and health service use of DSP and NSA recipients;</w:t>
      </w:r>
      <w:r>
        <w:rPr>
          <w:spacing w:val="-13"/>
        </w:rPr>
        <w:t xml:space="preserve"> </w:t>
      </w:r>
      <w:r>
        <w:t>and</w:t>
      </w:r>
    </w:p>
    <w:p w:rsidR="005330BF" w:rsidRDefault="00136814">
      <w:pPr>
        <w:pStyle w:val="ListParagraph"/>
        <w:numPr>
          <w:ilvl w:val="0"/>
          <w:numId w:val="5"/>
        </w:numPr>
        <w:tabs>
          <w:tab w:val="left" w:pos="1774"/>
        </w:tabs>
        <w:spacing w:before="1" w:line="276" w:lineRule="auto"/>
        <w:ind w:right="1725"/>
      </w:pPr>
      <w:r>
        <w:t>Compare</w:t>
      </w:r>
      <w:r>
        <w:rPr>
          <w:spacing w:val="-4"/>
        </w:rPr>
        <w:t xml:space="preserve"> </w:t>
      </w:r>
      <w:r>
        <w:t>the</w:t>
      </w:r>
      <w:r>
        <w:rPr>
          <w:spacing w:val="-2"/>
        </w:rPr>
        <w:t xml:space="preserve"> </w:t>
      </w:r>
      <w:r>
        <w:t>health</w:t>
      </w:r>
      <w:r>
        <w:rPr>
          <w:spacing w:val="-3"/>
        </w:rPr>
        <w:t xml:space="preserve"> </w:t>
      </w:r>
      <w:r>
        <w:t>and</w:t>
      </w:r>
      <w:r>
        <w:rPr>
          <w:spacing w:val="-3"/>
        </w:rPr>
        <w:t xml:space="preserve"> </w:t>
      </w:r>
      <w:r>
        <w:t>health</w:t>
      </w:r>
      <w:r>
        <w:rPr>
          <w:spacing w:val="-3"/>
        </w:rPr>
        <w:t xml:space="preserve"> </w:t>
      </w:r>
      <w:r>
        <w:t>service</w:t>
      </w:r>
      <w:r>
        <w:rPr>
          <w:spacing w:val="-3"/>
        </w:rPr>
        <w:t xml:space="preserve"> </w:t>
      </w:r>
      <w:r>
        <w:t>use</w:t>
      </w:r>
      <w:r>
        <w:rPr>
          <w:spacing w:val="-3"/>
        </w:rPr>
        <w:t xml:space="preserve"> </w:t>
      </w:r>
      <w:r>
        <w:t>of</w:t>
      </w:r>
      <w:r>
        <w:rPr>
          <w:spacing w:val="-3"/>
        </w:rPr>
        <w:t xml:space="preserve"> </w:t>
      </w:r>
      <w:r>
        <w:t>DSP</w:t>
      </w:r>
      <w:r>
        <w:rPr>
          <w:spacing w:val="-6"/>
        </w:rPr>
        <w:t xml:space="preserve"> </w:t>
      </w:r>
      <w:r>
        <w:t>and</w:t>
      </w:r>
      <w:r>
        <w:rPr>
          <w:spacing w:val="-3"/>
        </w:rPr>
        <w:t xml:space="preserve"> </w:t>
      </w:r>
      <w:r>
        <w:t>NSA</w:t>
      </w:r>
      <w:r>
        <w:rPr>
          <w:spacing w:val="-14"/>
        </w:rPr>
        <w:t xml:space="preserve"> </w:t>
      </w:r>
      <w:r>
        <w:t>recipients</w:t>
      </w:r>
      <w:r>
        <w:rPr>
          <w:spacing w:val="-2"/>
        </w:rPr>
        <w:t xml:space="preserve"> </w:t>
      </w:r>
      <w:r>
        <w:t>to that of people earning wages or business</w:t>
      </w:r>
      <w:r>
        <w:rPr>
          <w:spacing w:val="-11"/>
        </w:rPr>
        <w:t xml:space="preserve"> </w:t>
      </w:r>
      <w:r>
        <w:t>income.</w:t>
      </w:r>
    </w:p>
    <w:p w:rsidR="005330BF" w:rsidRDefault="005330BF">
      <w:pPr>
        <w:pStyle w:val="BodyText"/>
        <w:spacing w:before="7"/>
        <w:ind w:left="0"/>
        <w:rPr>
          <w:sz w:val="30"/>
        </w:rPr>
      </w:pPr>
    </w:p>
    <w:p w:rsidR="005330BF" w:rsidRDefault="00136814">
      <w:pPr>
        <w:pStyle w:val="Heading1"/>
        <w:spacing w:before="0"/>
      </w:pPr>
      <w:r>
        <w:rPr>
          <w:color w:val="58595B"/>
        </w:rPr>
        <w:t>Methodology</w:t>
      </w:r>
    </w:p>
    <w:p w:rsidR="005330BF" w:rsidRDefault="00136814">
      <w:pPr>
        <w:pStyle w:val="Heading2"/>
        <w:spacing w:before="389"/>
      </w:pPr>
      <w:r>
        <w:rPr>
          <w:color w:val="3B4D96"/>
        </w:rPr>
        <w:t>NATIONAL HEALTH SURVEY</w:t>
      </w:r>
    </w:p>
    <w:p w:rsidR="005330BF" w:rsidRDefault="00136814">
      <w:pPr>
        <w:pStyle w:val="BodyText"/>
        <w:spacing w:before="186" w:line="278" w:lineRule="auto"/>
        <w:ind w:right="1651"/>
      </w:pPr>
      <w:r>
        <w:t>This data used in this report is from the 2014/15 edition of the National Health Survey (NHS).</w:t>
      </w:r>
      <w:hyperlink w:anchor="_bookmark55" w:history="1">
        <w:r>
          <w:rPr>
            <w:color w:val="25408F"/>
            <w:position w:val="7"/>
            <w:sz w:val="13"/>
          </w:rPr>
          <w:t>[16]</w:t>
        </w:r>
      </w:hyperlink>
      <w:r>
        <w:rPr>
          <w:color w:val="25408F"/>
          <w:position w:val="7"/>
          <w:sz w:val="13"/>
        </w:rPr>
        <w:t xml:space="preserve"> </w:t>
      </w:r>
      <w:r>
        <w:t>This was the most recent NHS data available at the time the study was initiated an</w:t>
      </w:r>
      <w:r>
        <w:t>d is the most recent NHS containing information on receipt of government benefits. The NHS is an Australia-wide health survey conducted by the Australian Bureau of Statistics (ABS). The survey collects a range of information about the health of Australians</w:t>
      </w:r>
      <w:r>
        <w:t>, including:</w:t>
      </w:r>
    </w:p>
    <w:p w:rsidR="005330BF" w:rsidRDefault="00136814">
      <w:pPr>
        <w:pStyle w:val="ListParagraph"/>
        <w:numPr>
          <w:ilvl w:val="0"/>
          <w:numId w:val="4"/>
        </w:numPr>
        <w:tabs>
          <w:tab w:val="left" w:pos="1773"/>
          <w:tab w:val="left" w:pos="1774"/>
        </w:tabs>
        <w:spacing w:before="150"/>
      </w:pPr>
      <w:r>
        <w:t>the prevalence of long-term health</w:t>
      </w:r>
      <w:r>
        <w:rPr>
          <w:spacing w:val="-6"/>
        </w:rPr>
        <w:t xml:space="preserve"> </w:t>
      </w:r>
      <w:r>
        <w:t>conditions;</w:t>
      </w:r>
    </w:p>
    <w:p w:rsidR="005330BF" w:rsidRDefault="00136814">
      <w:pPr>
        <w:pStyle w:val="ListParagraph"/>
        <w:numPr>
          <w:ilvl w:val="0"/>
          <w:numId w:val="4"/>
        </w:numPr>
        <w:tabs>
          <w:tab w:val="left" w:pos="1773"/>
          <w:tab w:val="left" w:pos="1774"/>
        </w:tabs>
        <w:spacing w:before="42" w:line="278" w:lineRule="auto"/>
        <w:ind w:right="2434"/>
      </w:pPr>
      <w:r>
        <w:t xml:space="preserve">health risk factors such as smoking, </w:t>
      </w:r>
      <w:r>
        <w:rPr>
          <w:spacing w:val="-3"/>
        </w:rPr>
        <w:t xml:space="preserve">obesity, </w:t>
      </w:r>
      <w:r>
        <w:t>alcohol consumption, physical activity;</w:t>
      </w:r>
      <w:r>
        <w:rPr>
          <w:spacing w:val="-3"/>
        </w:rPr>
        <w:t xml:space="preserve"> </w:t>
      </w:r>
      <w:r>
        <w:t>and</w:t>
      </w:r>
    </w:p>
    <w:p w:rsidR="005330BF" w:rsidRDefault="00136814">
      <w:pPr>
        <w:pStyle w:val="ListParagraph"/>
        <w:numPr>
          <w:ilvl w:val="0"/>
          <w:numId w:val="4"/>
        </w:numPr>
        <w:tabs>
          <w:tab w:val="left" w:pos="1773"/>
          <w:tab w:val="left" w:pos="1774"/>
        </w:tabs>
      </w:pPr>
      <w:r>
        <w:t>demographic and socioeconomic</w:t>
      </w:r>
      <w:r>
        <w:rPr>
          <w:spacing w:val="-3"/>
        </w:rPr>
        <w:t xml:space="preserve"> </w:t>
      </w:r>
      <w:r>
        <w:t>characteristics.</w:t>
      </w:r>
    </w:p>
    <w:p w:rsidR="005330BF" w:rsidRDefault="00136814">
      <w:pPr>
        <w:pStyle w:val="BodyText"/>
        <w:spacing w:before="191" w:line="278" w:lineRule="auto"/>
        <w:ind w:right="1605"/>
      </w:pPr>
      <w:r>
        <w:t xml:space="preserve">The survey was conducted in all states and territories and </w:t>
      </w:r>
      <w:r>
        <w:t>across urban, rural and remote areas of Australia (excluding very remote areas). Within each dwelling one adult (18 years and over) and one child (if applicable) were randomly selected for inclusion in the survey. The survey was conducted from July 2014 to</w:t>
      </w:r>
      <w:r>
        <w:t xml:space="preserve"> June 2015, and included around 19,000 people in nearly 15,000 private dwellings. The NHS includes information on sources of income, including types of Centrelink (social security) benefits, and thus enables the selection of groups of survey respondents wh</w:t>
      </w:r>
      <w:r>
        <w:t>o are receiving the DSP and other social security benefits.</w:t>
      </w:r>
    </w:p>
    <w:p w:rsidR="005330BF" w:rsidRDefault="00136814">
      <w:pPr>
        <w:pStyle w:val="BodyText"/>
        <w:spacing w:before="151" w:line="278" w:lineRule="auto"/>
        <w:ind w:right="1627"/>
      </w:pPr>
      <w:r>
        <w:t xml:space="preserve">In some instances, adult respondents were unable to answer for themselves due to significant long-term illness or disability. In these cases, a person responsible for them was interviewed on their behalf, provided the interviewer was assured that this was </w:t>
      </w:r>
      <w:r>
        <w:t>acceptable to the selected person. Where possible, the respondent was still present during the interview.</w:t>
      </w:r>
    </w:p>
    <w:p w:rsidR="005330BF" w:rsidRDefault="005330BF">
      <w:pPr>
        <w:spacing w:line="278" w:lineRule="auto"/>
        <w:sectPr w:rsidR="005330BF">
          <w:pgSz w:w="11910" w:h="16840"/>
          <w:pgMar w:top="1060" w:right="540" w:bottom="560" w:left="740" w:header="0" w:footer="290" w:gutter="0"/>
          <w:cols w:space="720"/>
        </w:sectPr>
      </w:pPr>
    </w:p>
    <w:p w:rsidR="005330BF" w:rsidRDefault="00136814">
      <w:pPr>
        <w:pStyle w:val="Heading2"/>
      </w:pPr>
      <w:bookmarkStart w:id="12" w:name="Study_Groups"/>
      <w:bookmarkStart w:id="13" w:name="_Health_Conditions"/>
      <w:bookmarkStart w:id="14" w:name="_bookmark5"/>
      <w:bookmarkEnd w:id="12"/>
      <w:bookmarkEnd w:id="13"/>
      <w:bookmarkEnd w:id="14"/>
      <w:r>
        <w:rPr>
          <w:color w:val="3B4D96"/>
        </w:rPr>
        <w:t>STUDY GROUPS</w:t>
      </w:r>
    </w:p>
    <w:p w:rsidR="005330BF" w:rsidRDefault="00136814">
      <w:pPr>
        <w:pStyle w:val="BodyText"/>
        <w:spacing w:before="186" w:line="278" w:lineRule="auto"/>
        <w:ind w:right="1628"/>
      </w:pPr>
      <w:r>
        <w:t>Three groups were defined for the study. The inclusion and exclusion criteria for each group are as follows:</w:t>
      </w:r>
    </w:p>
    <w:p w:rsidR="005330BF" w:rsidRDefault="00136814">
      <w:pPr>
        <w:pStyle w:val="Heading3"/>
      </w:pPr>
      <w:r>
        <w:t>Group 1. D</w:t>
      </w:r>
      <w:r>
        <w:t>isability Support Pension recipients</w:t>
      </w:r>
    </w:p>
    <w:p w:rsidR="005330BF" w:rsidRDefault="00136814">
      <w:pPr>
        <w:pStyle w:val="BodyText"/>
        <w:spacing w:before="40" w:line="278" w:lineRule="auto"/>
        <w:ind w:right="2048"/>
        <w:jc w:val="both"/>
      </w:pPr>
      <w:r>
        <w:t>Cases were selected for inclusion in the DSP group if survey respondents were aged 18 to 64 years at the time of the survey and reported that they were receiving a DSP benefit at the time of the survey.</w:t>
      </w:r>
    </w:p>
    <w:p w:rsidR="005330BF" w:rsidRDefault="00136814">
      <w:pPr>
        <w:pStyle w:val="Heading3"/>
      </w:pPr>
      <w:r>
        <w:t>Group 2. Newstar</w:t>
      </w:r>
      <w:r>
        <w:t>t Allowance recipients</w:t>
      </w:r>
    </w:p>
    <w:p w:rsidR="005330BF" w:rsidRDefault="00136814">
      <w:pPr>
        <w:pStyle w:val="BodyText"/>
        <w:spacing w:before="40" w:line="278" w:lineRule="auto"/>
        <w:ind w:right="2056"/>
        <w:jc w:val="both"/>
      </w:pPr>
      <w:r>
        <w:t>Cases were selected for inclusion in the NSA group if survey</w:t>
      </w:r>
      <w:r>
        <w:rPr>
          <w:spacing w:val="-40"/>
        </w:rPr>
        <w:t xml:space="preserve"> </w:t>
      </w:r>
      <w:r>
        <w:t>respondents were aged 18 to 64 years at the time of the survey and reported that they were receiving the NSA at the time of the</w:t>
      </w:r>
      <w:r>
        <w:rPr>
          <w:spacing w:val="-16"/>
        </w:rPr>
        <w:t xml:space="preserve"> </w:t>
      </w:r>
      <w:r>
        <w:rPr>
          <w:spacing w:val="-3"/>
        </w:rPr>
        <w:t>survey.</w:t>
      </w:r>
    </w:p>
    <w:p w:rsidR="005330BF" w:rsidRDefault="00136814">
      <w:pPr>
        <w:pStyle w:val="Heading3"/>
      </w:pPr>
      <w:r>
        <w:t>Group 3. Wage Earners</w:t>
      </w:r>
    </w:p>
    <w:p w:rsidR="005330BF" w:rsidRDefault="00136814">
      <w:pPr>
        <w:pStyle w:val="BodyText"/>
        <w:spacing w:before="40" w:line="278" w:lineRule="auto"/>
        <w:ind w:right="1724"/>
      </w:pPr>
      <w:r>
        <w:t>Cases were selected for inclusion in the wage earners group if survey respondents were aged 18 to 64 years at the time of the survey and reported that they were receiving Wages, Business Income or Other Cash Income at the time of the survey. Cases were exc</w:t>
      </w:r>
      <w:r>
        <w:t>luded from this group if they reported receiving any government support that was not the Family Tax Benefit as an income source.</w:t>
      </w:r>
    </w:p>
    <w:p w:rsidR="005330BF" w:rsidRDefault="00136814">
      <w:pPr>
        <w:pStyle w:val="Heading2"/>
        <w:spacing w:before="129"/>
      </w:pPr>
      <w:r>
        <w:rPr>
          <w:color w:val="3B4D96"/>
        </w:rPr>
        <w:t>SELF-ASSESSED HEALTH</w:t>
      </w:r>
    </w:p>
    <w:p w:rsidR="005330BF" w:rsidRDefault="00136814">
      <w:pPr>
        <w:pStyle w:val="BodyText"/>
        <w:spacing w:before="185" w:line="278" w:lineRule="auto"/>
        <w:ind w:right="1707"/>
      </w:pPr>
      <w:r>
        <w:t>Respondents were asked to rate their own health using a single item of the Short-Form 12 (SF-12) Health Su</w:t>
      </w:r>
      <w:r>
        <w:t>rvey version 2. The question is posed as “In general, would you say your health is...” and respondents are asked to rate their health on the following scale:</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ListParagraph"/>
        <w:numPr>
          <w:ilvl w:val="0"/>
          <w:numId w:val="3"/>
        </w:numPr>
        <w:tabs>
          <w:tab w:val="left" w:pos="1774"/>
        </w:tabs>
        <w:spacing w:before="148"/>
        <w:jc w:val="left"/>
      </w:pPr>
      <w:r>
        <w:t>Excellent</w:t>
      </w:r>
    </w:p>
    <w:p w:rsidR="005330BF" w:rsidRDefault="00136814">
      <w:pPr>
        <w:pStyle w:val="ListParagraph"/>
        <w:numPr>
          <w:ilvl w:val="0"/>
          <w:numId w:val="3"/>
        </w:numPr>
        <w:tabs>
          <w:tab w:val="left" w:pos="1774"/>
        </w:tabs>
        <w:spacing w:before="38"/>
        <w:jc w:val="left"/>
      </w:pPr>
      <w:r>
        <w:rPr>
          <w:spacing w:val="-4"/>
        </w:rPr>
        <w:t>Very</w:t>
      </w:r>
      <w:r>
        <w:rPr>
          <w:spacing w:val="-1"/>
        </w:rPr>
        <w:t xml:space="preserve"> </w:t>
      </w:r>
      <w:r>
        <w:t>Good</w:t>
      </w:r>
    </w:p>
    <w:p w:rsidR="005330BF" w:rsidRDefault="00136814">
      <w:pPr>
        <w:pStyle w:val="ListParagraph"/>
        <w:numPr>
          <w:ilvl w:val="0"/>
          <w:numId w:val="3"/>
        </w:numPr>
        <w:tabs>
          <w:tab w:val="left" w:pos="1774"/>
        </w:tabs>
        <w:spacing w:before="38"/>
        <w:jc w:val="left"/>
      </w:pPr>
      <w:r>
        <w:t>Good</w:t>
      </w:r>
    </w:p>
    <w:p w:rsidR="005330BF" w:rsidRDefault="00136814">
      <w:pPr>
        <w:pStyle w:val="Heading2"/>
        <w:spacing w:before="168"/>
      </w:pPr>
      <w:r>
        <w:rPr>
          <w:color w:val="3B4D96"/>
          <w:spacing w:val="-4"/>
        </w:rPr>
        <w:t xml:space="preserve">HEALTH </w:t>
      </w:r>
      <w:r>
        <w:rPr>
          <w:color w:val="3B4D96"/>
        </w:rPr>
        <w:t>CONDITIONS</w:t>
      </w:r>
    </w:p>
    <w:p w:rsidR="005330BF" w:rsidRDefault="00136814">
      <w:pPr>
        <w:pStyle w:val="ListParagraph"/>
        <w:numPr>
          <w:ilvl w:val="0"/>
          <w:numId w:val="3"/>
        </w:numPr>
        <w:tabs>
          <w:tab w:val="left" w:pos="1701"/>
        </w:tabs>
        <w:spacing w:before="148"/>
        <w:ind w:left="1700"/>
        <w:jc w:val="left"/>
      </w:pPr>
      <w:r>
        <w:br w:type="column"/>
        <w:t>Fair</w:t>
      </w:r>
    </w:p>
    <w:p w:rsidR="005330BF" w:rsidRDefault="00136814">
      <w:pPr>
        <w:pStyle w:val="ListParagraph"/>
        <w:numPr>
          <w:ilvl w:val="0"/>
          <w:numId w:val="3"/>
        </w:numPr>
        <w:tabs>
          <w:tab w:val="left" w:pos="1701"/>
        </w:tabs>
        <w:spacing w:before="38"/>
        <w:ind w:left="1700"/>
        <w:jc w:val="left"/>
      </w:pPr>
      <w:r>
        <w:t>Poor</w:t>
      </w:r>
    </w:p>
    <w:p w:rsidR="005330BF" w:rsidRDefault="005330BF">
      <w:pPr>
        <w:sectPr w:rsidR="005330BF">
          <w:type w:val="continuous"/>
          <w:pgSz w:w="11910" w:h="16840"/>
          <w:pgMar w:top="1120" w:right="540" w:bottom="280" w:left="740" w:header="720" w:footer="720" w:gutter="0"/>
          <w:cols w:num="2" w:space="720" w:equalWidth="0">
            <w:col w:w="3943" w:space="40"/>
            <w:col w:w="6647"/>
          </w:cols>
        </w:sectPr>
      </w:pPr>
    </w:p>
    <w:p w:rsidR="005330BF" w:rsidRDefault="005330BF">
      <w:pPr>
        <w:pStyle w:val="BodyText"/>
        <w:spacing w:before="7"/>
        <w:ind w:left="0"/>
        <w:rPr>
          <w:sz w:val="10"/>
        </w:rPr>
      </w:pPr>
    </w:p>
    <w:p w:rsidR="005330BF" w:rsidRDefault="00136814">
      <w:pPr>
        <w:pStyle w:val="BodyText"/>
        <w:spacing w:before="61" w:line="278" w:lineRule="auto"/>
        <w:ind w:right="1616"/>
        <w:rPr>
          <w:sz w:val="13"/>
        </w:rPr>
      </w:pPr>
      <w:r>
        <w:t>Health conditions when reported by respondents were coded to a list of approximately 1000 conditions. This list covers the more common types of long-term conditions experienced in the Australian community. For the majority of conditions, interviewers wer</w:t>
      </w:r>
      <w:r>
        <w:t xml:space="preserve">e able to select the appropriate condition from either category responses for questions or from a trigram coder attached to ‘other’ response categories. Where the interviewer could not find the condition in the coder or the condition name was not known at </w:t>
      </w:r>
      <w:r>
        <w:t>the time of the interview, efforts were made to ensure that the description of each condition which was recorded at interview was as precise and informative as possible, to enable detailed, accurate and consistent coding of conditions at a later time. As s</w:t>
      </w:r>
      <w:r>
        <w:t>ome conditions are specifically identified in the questionnaire and others are not, response levels and accuracy of reporting between conditions may be affected. The output classification used by the ABS was based on mapping between the 1000 input code lis</w:t>
      </w:r>
      <w:r>
        <w:t>t and the 10th revision of the International Statistical Classification of Diseases and Related Health Problems</w:t>
      </w:r>
      <w:r>
        <w:rPr>
          <w:spacing w:val="-1"/>
        </w:rPr>
        <w:t xml:space="preserve"> </w:t>
      </w:r>
      <w:r>
        <w:t>(ICD-10).</w:t>
      </w:r>
      <w:hyperlink w:anchor="_bookmark55" w:history="1">
        <w:r>
          <w:rPr>
            <w:color w:val="25408F"/>
            <w:position w:val="7"/>
            <w:sz w:val="13"/>
          </w:rPr>
          <w:t>[17]</w:t>
        </w:r>
      </w:hyperlink>
    </w:p>
    <w:p w:rsidR="005330BF" w:rsidRDefault="005330BF">
      <w:pPr>
        <w:spacing w:line="278" w:lineRule="auto"/>
        <w:rPr>
          <w:sz w:val="13"/>
        </w:rPr>
        <w:sectPr w:rsidR="005330BF">
          <w:type w:val="continuous"/>
          <w:pgSz w:w="11910" w:h="16840"/>
          <w:pgMar w:top="1120" w:right="540" w:bottom="280" w:left="740" w:header="720" w:footer="720" w:gutter="0"/>
          <w:cols w:space="720"/>
        </w:sectPr>
      </w:pPr>
    </w:p>
    <w:p w:rsidR="005330BF" w:rsidRDefault="00136814">
      <w:pPr>
        <w:pStyle w:val="BodyText"/>
        <w:spacing w:before="47" w:line="278" w:lineRule="auto"/>
        <w:ind w:right="1615"/>
      </w:pPr>
      <w:bookmarkStart w:id="15" w:name="_bookmark6"/>
      <w:bookmarkEnd w:id="15"/>
      <w:r>
        <w:t>It is important to note that the health conditions reported are self-reported by pa</w:t>
      </w:r>
      <w:r>
        <w:t>rticipants – they are not necessarily related to the criteria used to determine eligibility for DSP and NSA benefit payments.</w:t>
      </w:r>
    </w:p>
    <w:p w:rsidR="005330BF" w:rsidRDefault="00136814">
      <w:pPr>
        <w:pStyle w:val="Heading2"/>
        <w:spacing w:before="129"/>
      </w:pPr>
      <w:r>
        <w:rPr>
          <w:color w:val="3B4D96"/>
        </w:rPr>
        <w:t>HEALTH SERVICE USE</w:t>
      </w:r>
    </w:p>
    <w:p w:rsidR="005330BF" w:rsidRDefault="00136814">
      <w:pPr>
        <w:pStyle w:val="BodyText"/>
        <w:spacing w:before="185" w:line="278" w:lineRule="auto"/>
        <w:ind w:right="1663"/>
      </w:pPr>
      <w:r>
        <w:t>Respondents were asked whether they had taken any of the following actions in the last 12 months (shown on a pr</w:t>
      </w:r>
      <w:r>
        <w:t>ompt card)</w:t>
      </w:r>
    </w:p>
    <w:p w:rsidR="005330BF" w:rsidRDefault="00136814">
      <w:pPr>
        <w:pStyle w:val="BodyText"/>
      </w:pPr>
      <w:r>
        <w:t>More than one response was allowed</w:t>
      </w:r>
    </w:p>
    <w:p w:rsidR="005330BF" w:rsidRDefault="005330BF">
      <w:pPr>
        <w:pStyle w:val="BodyText"/>
        <w:spacing w:before="2"/>
        <w:ind w:left="0"/>
        <w:rPr>
          <w:sz w:val="11"/>
        </w:rPr>
      </w:pPr>
    </w:p>
    <w:p w:rsidR="005330BF" w:rsidRDefault="005330BF">
      <w:pPr>
        <w:rPr>
          <w:sz w:val="11"/>
        </w:rPr>
        <w:sectPr w:rsidR="005330BF">
          <w:pgSz w:w="11910" w:h="16840"/>
          <w:pgMar w:top="1160" w:right="540" w:bottom="560" w:left="740" w:header="0" w:footer="290" w:gutter="0"/>
          <w:cols w:space="720"/>
        </w:sectPr>
      </w:pPr>
    </w:p>
    <w:p w:rsidR="005330BF" w:rsidRDefault="00136814">
      <w:pPr>
        <w:pStyle w:val="ListParagraph"/>
        <w:numPr>
          <w:ilvl w:val="0"/>
          <w:numId w:val="4"/>
        </w:numPr>
        <w:tabs>
          <w:tab w:val="left" w:pos="1773"/>
          <w:tab w:val="left" w:pos="1774"/>
        </w:tabs>
        <w:spacing w:before="60"/>
      </w:pPr>
      <w:r>
        <w:t>Consulted a</w:t>
      </w:r>
      <w:r>
        <w:rPr>
          <w:spacing w:val="-3"/>
        </w:rPr>
        <w:t xml:space="preserve"> </w:t>
      </w:r>
      <w:r>
        <w:t>GP</w:t>
      </w:r>
    </w:p>
    <w:p w:rsidR="005330BF" w:rsidRDefault="00136814">
      <w:pPr>
        <w:pStyle w:val="ListParagraph"/>
        <w:numPr>
          <w:ilvl w:val="0"/>
          <w:numId w:val="4"/>
        </w:numPr>
        <w:tabs>
          <w:tab w:val="left" w:pos="1773"/>
          <w:tab w:val="left" w:pos="1774"/>
        </w:tabs>
        <w:spacing w:before="42"/>
      </w:pPr>
      <w:r>
        <w:t>Consulted a</w:t>
      </w:r>
      <w:r>
        <w:rPr>
          <w:spacing w:val="-3"/>
        </w:rPr>
        <w:t xml:space="preserve"> </w:t>
      </w:r>
      <w:r>
        <w:t>specialist</w:t>
      </w:r>
    </w:p>
    <w:p w:rsidR="005330BF" w:rsidRDefault="00136814">
      <w:pPr>
        <w:pStyle w:val="ListParagraph"/>
        <w:numPr>
          <w:ilvl w:val="0"/>
          <w:numId w:val="4"/>
        </w:numPr>
        <w:tabs>
          <w:tab w:val="left" w:pos="1773"/>
          <w:tab w:val="left" w:pos="1774"/>
        </w:tabs>
        <w:spacing w:before="41"/>
      </w:pPr>
      <w:r>
        <w:t>Consulted a</w:t>
      </w:r>
      <w:r>
        <w:rPr>
          <w:spacing w:val="-3"/>
        </w:rPr>
        <w:t xml:space="preserve"> </w:t>
      </w:r>
      <w:r>
        <w:t>dentist</w:t>
      </w:r>
    </w:p>
    <w:p w:rsidR="005330BF" w:rsidRDefault="00136814">
      <w:pPr>
        <w:pStyle w:val="ListParagraph"/>
        <w:numPr>
          <w:ilvl w:val="0"/>
          <w:numId w:val="4"/>
        </w:numPr>
        <w:tabs>
          <w:tab w:val="left" w:pos="1773"/>
          <w:tab w:val="left" w:pos="1774"/>
        </w:tabs>
        <w:spacing w:before="41"/>
      </w:pPr>
      <w:r>
        <w:t>Consulted other health</w:t>
      </w:r>
      <w:r>
        <w:rPr>
          <w:spacing w:val="-29"/>
        </w:rPr>
        <w:t xml:space="preserve"> </w:t>
      </w:r>
      <w:r>
        <w:t>professionals</w:t>
      </w:r>
    </w:p>
    <w:p w:rsidR="005330BF" w:rsidRDefault="00136814">
      <w:pPr>
        <w:pStyle w:val="ListParagraph"/>
        <w:numPr>
          <w:ilvl w:val="0"/>
          <w:numId w:val="2"/>
        </w:numPr>
        <w:tabs>
          <w:tab w:val="left" w:pos="487"/>
          <w:tab w:val="left" w:pos="488"/>
        </w:tabs>
        <w:spacing w:before="60"/>
        <w:ind w:hanging="343"/>
      </w:pPr>
      <w:r>
        <w:br w:type="column"/>
        <w:t>Admitted to hospital as an</w:t>
      </w:r>
      <w:r>
        <w:rPr>
          <w:spacing w:val="-7"/>
        </w:rPr>
        <w:t xml:space="preserve"> </w:t>
      </w:r>
      <w:r>
        <w:t>inpatient</w:t>
      </w:r>
    </w:p>
    <w:p w:rsidR="005330BF" w:rsidRDefault="00136814">
      <w:pPr>
        <w:pStyle w:val="ListParagraph"/>
        <w:numPr>
          <w:ilvl w:val="0"/>
          <w:numId w:val="2"/>
        </w:numPr>
        <w:tabs>
          <w:tab w:val="left" w:pos="487"/>
          <w:tab w:val="left" w:pos="488"/>
        </w:tabs>
        <w:spacing w:before="42"/>
        <w:ind w:hanging="343"/>
      </w:pPr>
      <w:r>
        <w:t>Visited an outpatient</w:t>
      </w:r>
      <w:r>
        <w:rPr>
          <w:spacing w:val="-5"/>
        </w:rPr>
        <w:t xml:space="preserve"> </w:t>
      </w:r>
      <w:r>
        <w:t>clinic</w:t>
      </w:r>
    </w:p>
    <w:p w:rsidR="005330BF" w:rsidRDefault="00136814">
      <w:pPr>
        <w:pStyle w:val="ListParagraph"/>
        <w:numPr>
          <w:ilvl w:val="0"/>
          <w:numId w:val="2"/>
        </w:numPr>
        <w:tabs>
          <w:tab w:val="left" w:pos="487"/>
          <w:tab w:val="left" w:pos="488"/>
        </w:tabs>
        <w:spacing w:before="41"/>
        <w:ind w:hanging="343"/>
      </w:pPr>
      <w:r>
        <w:t>Visited</w:t>
      </w:r>
      <w:r>
        <w:rPr>
          <w:spacing w:val="-2"/>
        </w:rPr>
        <w:t xml:space="preserve"> </w:t>
      </w:r>
      <w:r>
        <w:t>emergency/casualty</w:t>
      </w:r>
    </w:p>
    <w:p w:rsidR="005330BF" w:rsidRDefault="00136814">
      <w:pPr>
        <w:pStyle w:val="ListParagraph"/>
        <w:numPr>
          <w:ilvl w:val="0"/>
          <w:numId w:val="2"/>
        </w:numPr>
        <w:tabs>
          <w:tab w:val="left" w:pos="487"/>
          <w:tab w:val="left" w:pos="488"/>
        </w:tabs>
        <w:spacing w:before="41"/>
        <w:ind w:hanging="343"/>
      </w:pPr>
      <w:r>
        <w:t>Visited a day</w:t>
      </w:r>
      <w:r>
        <w:rPr>
          <w:spacing w:val="-4"/>
        </w:rPr>
        <w:t xml:space="preserve"> </w:t>
      </w:r>
      <w:r>
        <w:t>clinic</w:t>
      </w:r>
    </w:p>
    <w:p w:rsidR="005330BF" w:rsidRDefault="005330BF">
      <w:pPr>
        <w:sectPr w:rsidR="005330BF">
          <w:type w:val="continuous"/>
          <w:pgSz w:w="11910" w:h="16840"/>
          <w:pgMar w:top="1120" w:right="540" w:bottom="280" w:left="740" w:header="720" w:footer="720" w:gutter="0"/>
          <w:cols w:num="2" w:space="720" w:equalWidth="0">
            <w:col w:w="5343" w:space="40"/>
            <w:col w:w="5247"/>
          </w:cols>
        </w:sectPr>
      </w:pPr>
    </w:p>
    <w:p w:rsidR="005330BF" w:rsidRDefault="005330BF">
      <w:pPr>
        <w:pStyle w:val="BodyText"/>
        <w:spacing w:before="2"/>
        <w:ind w:left="0"/>
        <w:rPr>
          <w:sz w:val="11"/>
        </w:rPr>
      </w:pPr>
    </w:p>
    <w:p w:rsidR="005330BF" w:rsidRDefault="00136814">
      <w:pPr>
        <w:pStyle w:val="BodyText"/>
        <w:spacing w:before="61" w:line="278" w:lineRule="auto"/>
        <w:ind w:right="1677"/>
      </w:pPr>
      <w:r>
        <w:t>If they had consulted an 'other health professional' in the last 12 months, they were asked (excluding any time spent in hospital) which other health professional(s) they had consulted (shown on a prompt car</w:t>
      </w:r>
      <w:r>
        <w:t>d):</w:t>
      </w:r>
    </w:p>
    <w:p w:rsidR="005330BF" w:rsidRDefault="00136814">
      <w:pPr>
        <w:pStyle w:val="BodyText"/>
      </w:pPr>
      <w:r>
        <w:t>More than one response was allowed</w:t>
      </w:r>
    </w:p>
    <w:p w:rsidR="005330BF" w:rsidRDefault="005330BF">
      <w:pPr>
        <w:pStyle w:val="BodyText"/>
        <w:spacing w:before="1"/>
        <w:ind w:left="0"/>
        <w:rPr>
          <w:sz w:val="11"/>
        </w:rPr>
      </w:pPr>
    </w:p>
    <w:p w:rsidR="005330BF" w:rsidRDefault="005330BF">
      <w:pPr>
        <w:rPr>
          <w:sz w:val="11"/>
        </w:rPr>
        <w:sectPr w:rsidR="005330BF">
          <w:type w:val="continuous"/>
          <w:pgSz w:w="11910" w:h="16840"/>
          <w:pgMar w:top="1120" w:right="540" w:bottom="280" w:left="740" w:header="720" w:footer="720" w:gutter="0"/>
          <w:cols w:space="720"/>
        </w:sectPr>
      </w:pPr>
    </w:p>
    <w:p w:rsidR="005330BF" w:rsidRDefault="00136814">
      <w:pPr>
        <w:pStyle w:val="ListParagraph"/>
        <w:numPr>
          <w:ilvl w:val="1"/>
          <w:numId w:val="2"/>
        </w:numPr>
        <w:tabs>
          <w:tab w:val="left" w:pos="1773"/>
          <w:tab w:val="left" w:pos="1774"/>
        </w:tabs>
        <w:spacing w:before="61"/>
      </w:pPr>
      <w:r>
        <w:t>Aboriginal health</w:t>
      </w:r>
      <w:r>
        <w:rPr>
          <w:spacing w:val="-2"/>
        </w:rPr>
        <w:t xml:space="preserve"> </w:t>
      </w:r>
      <w:r>
        <w:t>worker</w:t>
      </w:r>
    </w:p>
    <w:p w:rsidR="005330BF" w:rsidRDefault="00136814">
      <w:pPr>
        <w:pStyle w:val="ListParagraph"/>
        <w:numPr>
          <w:ilvl w:val="1"/>
          <w:numId w:val="2"/>
        </w:numPr>
        <w:tabs>
          <w:tab w:val="left" w:pos="1773"/>
          <w:tab w:val="left" w:pos="1774"/>
        </w:tabs>
        <w:spacing w:before="41"/>
      </w:pPr>
      <w:r>
        <w:t>Accredited counsellor</w:t>
      </w:r>
    </w:p>
    <w:p w:rsidR="005330BF" w:rsidRDefault="00136814">
      <w:pPr>
        <w:pStyle w:val="ListParagraph"/>
        <w:numPr>
          <w:ilvl w:val="1"/>
          <w:numId w:val="2"/>
        </w:numPr>
        <w:tabs>
          <w:tab w:val="left" w:pos="1773"/>
          <w:tab w:val="left" w:pos="1774"/>
        </w:tabs>
        <w:spacing w:before="42"/>
      </w:pPr>
      <w:r>
        <w:t>Acupuncturist</w:t>
      </w:r>
    </w:p>
    <w:p w:rsidR="005330BF" w:rsidRDefault="00136814">
      <w:pPr>
        <w:pStyle w:val="ListParagraph"/>
        <w:numPr>
          <w:ilvl w:val="1"/>
          <w:numId w:val="2"/>
        </w:numPr>
        <w:tabs>
          <w:tab w:val="left" w:pos="1773"/>
          <w:tab w:val="left" w:pos="1774"/>
        </w:tabs>
        <w:spacing w:before="41"/>
      </w:pPr>
      <w:r>
        <w:t>Alcohol and drug</w:t>
      </w:r>
      <w:r>
        <w:rPr>
          <w:spacing w:val="-4"/>
        </w:rPr>
        <w:t xml:space="preserve"> </w:t>
      </w:r>
      <w:r>
        <w:t>worker</w:t>
      </w:r>
    </w:p>
    <w:p w:rsidR="005330BF" w:rsidRDefault="00136814">
      <w:pPr>
        <w:pStyle w:val="ListParagraph"/>
        <w:numPr>
          <w:ilvl w:val="1"/>
          <w:numId w:val="2"/>
        </w:numPr>
        <w:tabs>
          <w:tab w:val="left" w:pos="1773"/>
          <w:tab w:val="left" w:pos="1774"/>
        </w:tabs>
        <w:spacing w:before="42"/>
      </w:pPr>
      <w:r>
        <w:t>Audiologist/Audiometrist</w:t>
      </w:r>
    </w:p>
    <w:p w:rsidR="005330BF" w:rsidRDefault="00136814">
      <w:pPr>
        <w:pStyle w:val="ListParagraph"/>
        <w:numPr>
          <w:ilvl w:val="1"/>
          <w:numId w:val="2"/>
        </w:numPr>
        <w:tabs>
          <w:tab w:val="left" w:pos="1773"/>
          <w:tab w:val="left" w:pos="1774"/>
        </w:tabs>
        <w:spacing w:before="41"/>
      </w:pPr>
      <w:r>
        <w:t>Chemist/Pharmacist (for advice</w:t>
      </w:r>
      <w:r>
        <w:rPr>
          <w:spacing w:val="-26"/>
        </w:rPr>
        <w:t xml:space="preserve"> </w:t>
      </w:r>
      <w:r>
        <w:t>only)</w:t>
      </w:r>
    </w:p>
    <w:p w:rsidR="005330BF" w:rsidRDefault="00136814">
      <w:pPr>
        <w:pStyle w:val="ListParagraph"/>
        <w:numPr>
          <w:ilvl w:val="1"/>
          <w:numId w:val="2"/>
        </w:numPr>
        <w:tabs>
          <w:tab w:val="left" w:pos="1773"/>
          <w:tab w:val="left" w:pos="1774"/>
        </w:tabs>
        <w:spacing w:before="42"/>
      </w:pPr>
      <w:r>
        <w:t>Chiropodist/Podiatrist</w:t>
      </w:r>
    </w:p>
    <w:p w:rsidR="005330BF" w:rsidRDefault="00136814">
      <w:pPr>
        <w:pStyle w:val="ListParagraph"/>
        <w:numPr>
          <w:ilvl w:val="1"/>
          <w:numId w:val="2"/>
        </w:numPr>
        <w:tabs>
          <w:tab w:val="left" w:pos="1773"/>
          <w:tab w:val="left" w:pos="1774"/>
        </w:tabs>
        <w:spacing w:before="41"/>
      </w:pPr>
      <w:r>
        <w:t>Chiropractor</w:t>
      </w:r>
    </w:p>
    <w:p w:rsidR="005330BF" w:rsidRDefault="00136814">
      <w:pPr>
        <w:pStyle w:val="ListParagraph"/>
        <w:numPr>
          <w:ilvl w:val="1"/>
          <w:numId w:val="2"/>
        </w:numPr>
        <w:tabs>
          <w:tab w:val="left" w:pos="1773"/>
          <w:tab w:val="left" w:pos="1774"/>
        </w:tabs>
        <w:spacing w:before="41"/>
      </w:pPr>
      <w:r>
        <w:t>Diabetes</w:t>
      </w:r>
      <w:r>
        <w:rPr>
          <w:spacing w:val="-2"/>
        </w:rPr>
        <w:t xml:space="preserve"> </w:t>
      </w:r>
      <w:r>
        <w:t>educator</w:t>
      </w:r>
    </w:p>
    <w:p w:rsidR="005330BF" w:rsidRDefault="00136814">
      <w:pPr>
        <w:pStyle w:val="ListParagraph"/>
        <w:numPr>
          <w:ilvl w:val="1"/>
          <w:numId w:val="2"/>
        </w:numPr>
        <w:tabs>
          <w:tab w:val="left" w:pos="1773"/>
          <w:tab w:val="left" w:pos="1774"/>
        </w:tabs>
        <w:spacing w:before="42"/>
      </w:pPr>
      <w:r>
        <w:t>Dietitian/Nutritionist</w:t>
      </w:r>
    </w:p>
    <w:p w:rsidR="005330BF" w:rsidRDefault="00136814">
      <w:pPr>
        <w:pStyle w:val="ListParagraph"/>
        <w:numPr>
          <w:ilvl w:val="1"/>
          <w:numId w:val="2"/>
        </w:numPr>
        <w:tabs>
          <w:tab w:val="left" w:pos="1773"/>
          <w:tab w:val="left" w:pos="1774"/>
        </w:tabs>
        <w:spacing w:before="41"/>
      </w:pPr>
      <w:r>
        <w:t>Naturopath</w:t>
      </w:r>
    </w:p>
    <w:p w:rsidR="005330BF" w:rsidRDefault="00136814">
      <w:pPr>
        <w:pStyle w:val="ListParagraph"/>
        <w:numPr>
          <w:ilvl w:val="1"/>
          <w:numId w:val="2"/>
        </w:numPr>
        <w:tabs>
          <w:tab w:val="left" w:pos="1773"/>
          <w:tab w:val="left" w:pos="1774"/>
        </w:tabs>
        <w:spacing w:before="42"/>
      </w:pPr>
      <w:r>
        <w:t>Herbalist</w:t>
      </w:r>
    </w:p>
    <w:p w:rsidR="005330BF" w:rsidRDefault="00136814">
      <w:pPr>
        <w:pStyle w:val="ListParagraph"/>
        <w:numPr>
          <w:ilvl w:val="0"/>
          <w:numId w:val="2"/>
        </w:numPr>
        <w:tabs>
          <w:tab w:val="left" w:pos="464"/>
          <w:tab w:val="left" w:pos="465"/>
        </w:tabs>
        <w:spacing w:before="61"/>
        <w:ind w:left="464"/>
      </w:pPr>
      <w:r>
        <w:rPr>
          <w:spacing w:val="-1"/>
        </w:rPr>
        <w:br w:type="column"/>
      </w:r>
      <w:r>
        <w:t>Hypnotherapist</w:t>
      </w:r>
    </w:p>
    <w:p w:rsidR="005330BF" w:rsidRDefault="00136814">
      <w:pPr>
        <w:pStyle w:val="ListParagraph"/>
        <w:numPr>
          <w:ilvl w:val="0"/>
          <w:numId w:val="2"/>
        </w:numPr>
        <w:tabs>
          <w:tab w:val="left" w:pos="464"/>
          <w:tab w:val="left" w:pos="465"/>
        </w:tabs>
        <w:spacing w:before="41"/>
        <w:ind w:left="464"/>
      </w:pPr>
      <w:r>
        <w:t>Nurse</w:t>
      </w:r>
    </w:p>
    <w:p w:rsidR="005330BF" w:rsidRDefault="00136814">
      <w:pPr>
        <w:pStyle w:val="ListParagraph"/>
        <w:numPr>
          <w:ilvl w:val="0"/>
          <w:numId w:val="2"/>
        </w:numPr>
        <w:tabs>
          <w:tab w:val="left" w:pos="464"/>
          <w:tab w:val="left" w:pos="465"/>
        </w:tabs>
        <w:spacing w:before="42"/>
        <w:ind w:left="464"/>
      </w:pPr>
      <w:r>
        <w:t>Occupational therapist</w:t>
      </w:r>
    </w:p>
    <w:p w:rsidR="005330BF" w:rsidRDefault="00136814">
      <w:pPr>
        <w:pStyle w:val="ListParagraph"/>
        <w:numPr>
          <w:ilvl w:val="0"/>
          <w:numId w:val="2"/>
        </w:numPr>
        <w:tabs>
          <w:tab w:val="left" w:pos="464"/>
          <w:tab w:val="left" w:pos="465"/>
        </w:tabs>
        <w:spacing w:before="41"/>
        <w:ind w:left="464"/>
      </w:pPr>
      <w:r>
        <w:t>Optician/Optometrist/Orthoptist</w:t>
      </w:r>
    </w:p>
    <w:p w:rsidR="005330BF" w:rsidRDefault="00136814">
      <w:pPr>
        <w:pStyle w:val="ListParagraph"/>
        <w:numPr>
          <w:ilvl w:val="0"/>
          <w:numId w:val="2"/>
        </w:numPr>
        <w:tabs>
          <w:tab w:val="left" w:pos="464"/>
          <w:tab w:val="left" w:pos="465"/>
        </w:tabs>
        <w:spacing w:before="42"/>
        <w:ind w:left="464"/>
      </w:pPr>
      <w:r>
        <w:t>Osteopath</w:t>
      </w:r>
    </w:p>
    <w:p w:rsidR="005330BF" w:rsidRDefault="00136814">
      <w:pPr>
        <w:pStyle w:val="ListParagraph"/>
        <w:numPr>
          <w:ilvl w:val="0"/>
          <w:numId w:val="2"/>
        </w:numPr>
        <w:tabs>
          <w:tab w:val="left" w:pos="464"/>
          <w:tab w:val="left" w:pos="465"/>
        </w:tabs>
        <w:spacing w:before="41"/>
        <w:ind w:left="464"/>
      </w:pPr>
      <w:r>
        <w:t>Physiotherapist/Hydrotherapist</w:t>
      </w:r>
    </w:p>
    <w:p w:rsidR="005330BF" w:rsidRDefault="00136814">
      <w:pPr>
        <w:pStyle w:val="ListParagraph"/>
        <w:numPr>
          <w:ilvl w:val="0"/>
          <w:numId w:val="2"/>
        </w:numPr>
        <w:tabs>
          <w:tab w:val="left" w:pos="464"/>
          <w:tab w:val="left" w:pos="465"/>
        </w:tabs>
        <w:spacing w:before="42"/>
        <w:ind w:left="464"/>
      </w:pPr>
      <w:r>
        <w:t>Psychologist</w:t>
      </w:r>
    </w:p>
    <w:p w:rsidR="005330BF" w:rsidRDefault="00136814">
      <w:pPr>
        <w:pStyle w:val="ListParagraph"/>
        <w:numPr>
          <w:ilvl w:val="0"/>
          <w:numId w:val="2"/>
        </w:numPr>
        <w:tabs>
          <w:tab w:val="left" w:pos="464"/>
          <w:tab w:val="left" w:pos="465"/>
        </w:tabs>
        <w:spacing w:before="41"/>
        <w:ind w:left="464"/>
      </w:pPr>
      <w:r>
        <w:t>Radiographer</w:t>
      </w:r>
    </w:p>
    <w:p w:rsidR="005330BF" w:rsidRDefault="00136814">
      <w:pPr>
        <w:pStyle w:val="ListParagraph"/>
        <w:numPr>
          <w:ilvl w:val="0"/>
          <w:numId w:val="2"/>
        </w:numPr>
        <w:tabs>
          <w:tab w:val="left" w:pos="464"/>
          <w:tab w:val="left" w:pos="465"/>
        </w:tabs>
        <w:spacing w:before="41"/>
        <w:ind w:left="464"/>
      </w:pPr>
      <w:r>
        <w:t>Social worker/Welfare</w:t>
      </w:r>
      <w:r>
        <w:rPr>
          <w:spacing w:val="-3"/>
        </w:rPr>
        <w:t xml:space="preserve"> </w:t>
      </w:r>
      <w:r>
        <w:t>officer</w:t>
      </w:r>
    </w:p>
    <w:p w:rsidR="005330BF" w:rsidRDefault="00136814">
      <w:pPr>
        <w:pStyle w:val="ListParagraph"/>
        <w:numPr>
          <w:ilvl w:val="0"/>
          <w:numId w:val="2"/>
        </w:numPr>
        <w:tabs>
          <w:tab w:val="left" w:pos="464"/>
          <w:tab w:val="left" w:pos="465"/>
        </w:tabs>
        <w:spacing w:before="42"/>
        <w:ind w:left="464"/>
      </w:pPr>
      <w:r>
        <w:t>Sonographer</w:t>
      </w:r>
    </w:p>
    <w:p w:rsidR="005330BF" w:rsidRDefault="00136814">
      <w:pPr>
        <w:pStyle w:val="ListParagraph"/>
        <w:numPr>
          <w:ilvl w:val="0"/>
          <w:numId w:val="2"/>
        </w:numPr>
        <w:tabs>
          <w:tab w:val="left" w:pos="464"/>
          <w:tab w:val="left" w:pos="465"/>
        </w:tabs>
        <w:spacing w:before="41"/>
        <w:ind w:left="464"/>
      </w:pPr>
      <w:r>
        <w:t>Speech therapist/Pathologist</w:t>
      </w:r>
    </w:p>
    <w:p w:rsidR="005330BF" w:rsidRDefault="00136814">
      <w:pPr>
        <w:pStyle w:val="ListParagraph"/>
        <w:numPr>
          <w:ilvl w:val="0"/>
          <w:numId w:val="2"/>
        </w:numPr>
        <w:tabs>
          <w:tab w:val="left" w:pos="464"/>
          <w:tab w:val="left" w:pos="465"/>
        </w:tabs>
        <w:spacing w:before="42"/>
        <w:ind w:left="464"/>
      </w:pPr>
      <w:r>
        <w:t>Other</w:t>
      </w:r>
    </w:p>
    <w:p w:rsidR="005330BF" w:rsidRDefault="005330BF">
      <w:pPr>
        <w:sectPr w:rsidR="005330BF">
          <w:type w:val="continuous"/>
          <w:pgSz w:w="11910" w:h="16840"/>
          <w:pgMar w:top="1120" w:right="540" w:bottom="280" w:left="740" w:header="720" w:footer="720" w:gutter="0"/>
          <w:cols w:num="2" w:space="720" w:equalWidth="0">
            <w:col w:w="5367" w:space="40"/>
            <w:col w:w="5223"/>
          </w:cols>
        </w:sectPr>
      </w:pPr>
    </w:p>
    <w:p w:rsidR="005330BF" w:rsidRDefault="005330BF">
      <w:pPr>
        <w:pStyle w:val="BodyText"/>
        <w:spacing w:before="1"/>
        <w:ind w:left="0"/>
        <w:rPr>
          <w:sz w:val="11"/>
        </w:rPr>
      </w:pPr>
    </w:p>
    <w:p w:rsidR="005330BF" w:rsidRDefault="00136814">
      <w:pPr>
        <w:pStyle w:val="BodyText"/>
        <w:spacing w:before="61" w:line="278" w:lineRule="auto"/>
        <w:ind w:right="1628"/>
      </w:pPr>
      <w:r>
        <w:t>Respondents who had consulted a GP, specialist or dentist, been admitted to hospital as an inpatient, visited an outpatient or day clinic, or visited emergency/casualty in the last 12 months were asked how many times they had done so during that period.</w:t>
      </w:r>
    </w:p>
    <w:p w:rsidR="005330BF" w:rsidRDefault="00136814">
      <w:pPr>
        <w:pStyle w:val="Heading2"/>
        <w:spacing w:before="129"/>
      </w:pPr>
      <w:r>
        <w:rPr>
          <w:color w:val="3B4D96"/>
        </w:rPr>
        <w:t>ME</w:t>
      </w:r>
      <w:r>
        <w:rPr>
          <w:color w:val="3B4D96"/>
        </w:rPr>
        <w:t>DICATION &amp; SUPPLEMENT USE</w:t>
      </w:r>
    </w:p>
    <w:p w:rsidR="005330BF" w:rsidRDefault="00136814">
      <w:pPr>
        <w:pStyle w:val="BodyText"/>
        <w:spacing w:before="185" w:line="278" w:lineRule="auto"/>
        <w:ind w:right="1626"/>
      </w:pPr>
      <w:r>
        <w:t xml:space="preserve">Respondents were asked for the names or brands of all medications and dietary supplements (vitamins, minerals and natural or herbal supplements) they had taken in the last 2 weeks. Respondents were encouraged to have all of their </w:t>
      </w:r>
      <w:r>
        <w:t>medications and supplements in front of them during the interview to assist in reporting the information. Interviewers recorded the Australian Register of Therapeutic Goods Administration (TGA) identification number of each medication taken by the responde</w:t>
      </w:r>
      <w:r>
        <w:t>nt. The therapeutic substances people reported were coded as either ‘medications’ or as ‘dietary supplements’.</w:t>
      </w:r>
    </w:p>
    <w:p w:rsidR="005330BF" w:rsidRDefault="00136814">
      <w:pPr>
        <w:pStyle w:val="BodyText"/>
        <w:spacing w:before="1" w:line="278" w:lineRule="auto"/>
        <w:ind w:right="2546"/>
        <w:jc w:val="both"/>
      </w:pPr>
      <w:r>
        <w:t>Medications were coded based on their active ingredient(s) and their therapeutic application, to the World Health Organisation Anatomical Therape</w:t>
      </w:r>
      <w:r>
        <w:t>utic Chemical (ATC) classification system.</w:t>
      </w:r>
    </w:p>
    <w:p w:rsidR="005330BF" w:rsidRDefault="005330BF">
      <w:pPr>
        <w:spacing w:line="278" w:lineRule="auto"/>
        <w:jc w:val="both"/>
        <w:sectPr w:rsidR="005330BF">
          <w:type w:val="continuous"/>
          <w:pgSz w:w="11910" w:h="16840"/>
          <w:pgMar w:top="1120" w:right="540" w:bottom="280" w:left="740" w:header="720" w:footer="720" w:gutter="0"/>
          <w:cols w:space="720"/>
        </w:sectPr>
      </w:pPr>
    </w:p>
    <w:p w:rsidR="005330BF" w:rsidRDefault="00136814">
      <w:pPr>
        <w:pStyle w:val="Heading2"/>
      </w:pPr>
      <w:bookmarkStart w:id="16" w:name="Statistical_Analyses"/>
      <w:bookmarkStart w:id="17" w:name="_bookmark7"/>
      <w:bookmarkEnd w:id="16"/>
      <w:bookmarkEnd w:id="17"/>
      <w:r>
        <w:rPr>
          <w:color w:val="3B4D96"/>
        </w:rPr>
        <w:t>STATISTICAL ANALYSES</w:t>
      </w:r>
    </w:p>
    <w:p w:rsidR="005330BF" w:rsidRDefault="00136814">
      <w:pPr>
        <w:pStyle w:val="Heading3"/>
        <w:spacing w:before="184"/>
      </w:pPr>
      <w:r>
        <w:t>Age and Sex Adjustment</w:t>
      </w:r>
    </w:p>
    <w:p w:rsidR="005330BF" w:rsidRDefault="00136814">
      <w:pPr>
        <w:pStyle w:val="BodyText"/>
        <w:spacing w:before="39" w:line="278" w:lineRule="auto"/>
        <w:ind w:right="1605"/>
      </w:pPr>
      <w:r>
        <w:t>Individuals of different ages and sexes have different health conditions and different approaches to their health care. To be sure that any differences s</w:t>
      </w:r>
      <w:r>
        <w:t>een between the groups is not due to differences in age and sex, all models used to calculate the risk ratios and incidence rate ratios took into account the age and sex of the individuals.</w:t>
      </w:r>
    </w:p>
    <w:p w:rsidR="005330BF" w:rsidRDefault="00136814">
      <w:pPr>
        <w:pStyle w:val="Heading3"/>
        <w:spacing w:before="149"/>
      </w:pPr>
      <w:r>
        <w:t>Risk Ratios</w:t>
      </w:r>
    </w:p>
    <w:p w:rsidR="005330BF" w:rsidRDefault="00136814">
      <w:pPr>
        <w:pStyle w:val="BodyText"/>
        <w:spacing w:before="40" w:line="278" w:lineRule="auto"/>
        <w:ind w:right="1603"/>
      </w:pPr>
      <w:r>
        <w:t>Risk ratios compare the risk of a particular event hav</w:t>
      </w:r>
      <w:r>
        <w:t>ing occurred or not in two separate groups. In this report age and sex adjusted risk ratios were calculated to compare the risk of having a health condition, having used a health service or having used a medication between study groups. Risk ratios were ca</w:t>
      </w:r>
      <w:r>
        <w:t>lculated using log binomial generalised linear regression models.</w:t>
      </w:r>
    </w:p>
    <w:p w:rsidR="005330BF" w:rsidRDefault="00136814">
      <w:pPr>
        <w:pStyle w:val="Heading3"/>
      </w:pPr>
      <w:r>
        <w:t>Incidence Rate Ratios</w:t>
      </w:r>
    </w:p>
    <w:p w:rsidR="005330BF" w:rsidRDefault="00136814">
      <w:pPr>
        <w:pStyle w:val="BodyText"/>
        <w:spacing w:before="40" w:line="278" w:lineRule="auto"/>
        <w:ind w:right="1724"/>
      </w:pPr>
      <w:r>
        <w:t>Incidence rate ratios compare the frequency with which a particular event occurred in two separate groups. In this report age and sex adjusted incidence rate ratios were calculated to compare the number of health conditions, frequency of health service use</w:t>
      </w:r>
      <w:r>
        <w:t>, and number of medications used between groups. Incidence rate ratios were calculated using negative binomial regression models.</w:t>
      </w:r>
    </w:p>
    <w:p w:rsidR="005330BF" w:rsidRDefault="00136814">
      <w:pPr>
        <w:pStyle w:val="Heading3"/>
      </w:pPr>
      <w:r>
        <w:t>Interpreting Risk Ratios and Incidence Rate Ratios</w:t>
      </w:r>
    </w:p>
    <w:p w:rsidR="005330BF" w:rsidRDefault="00136814">
      <w:pPr>
        <w:pStyle w:val="BodyText"/>
        <w:spacing w:before="40" w:line="278" w:lineRule="auto"/>
        <w:ind w:right="1688"/>
      </w:pPr>
      <w:r>
        <w:t>When a risk ratio or incidence rate ratio is calculated, one group is the r</w:t>
      </w:r>
      <w:r>
        <w:t>eference group (in this report the wage earners group) and has a value set at 1. The other group is the comparator group (in this report either the DSP</w:t>
      </w:r>
      <w:r>
        <w:rPr>
          <w:spacing w:val="-38"/>
        </w:rPr>
        <w:t xml:space="preserve"> </w:t>
      </w:r>
      <w:r>
        <w:t>or NSA) and can change in</w:t>
      </w:r>
      <w:r>
        <w:rPr>
          <w:spacing w:val="-4"/>
        </w:rPr>
        <w:t xml:space="preserve"> </w:t>
      </w:r>
      <w:r>
        <w:t>value.</w:t>
      </w:r>
    </w:p>
    <w:p w:rsidR="005330BF" w:rsidRDefault="00136814">
      <w:pPr>
        <w:pStyle w:val="BodyText"/>
        <w:spacing w:before="150" w:line="278" w:lineRule="auto"/>
        <w:ind w:right="1908"/>
      </w:pPr>
      <w:r>
        <w:t>If the risk or incidence rate ratio in the comparator group (DSP or NSA</w:t>
      </w:r>
      <w:r>
        <w:t>) is greater than 1, then this means that there is a greater risk or incidence rate than in the reference group of wage earners, e.g., a ratio of 2:1 indicates twice the risk or incidence in the comparator group compared with the reference group.</w:t>
      </w:r>
    </w:p>
    <w:p w:rsidR="005330BF" w:rsidRDefault="00136814">
      <w:pPr>
        <w:pStyle w:val="BodyText"/>
        <w:spacing w:before="150" w:line="278" w:lineRule="auto"/>
        <w:ind w:right="1627"/>
      </w:pPr>
      <w:r>
        <w:t>If the ri</w:t>
      </w:r>
      <w:r>
        <w:t>sk ratio or incidence rate ratio in the comparator group (DSP or NSA) is less than 1 then there is reduced risk or incidence rate than in the reference group of wage earners, e.g., a ratio of 0.5:1 indicates half the risk or incidence in the comparator gro</w:t>
      </w:r>
      <w:r>
        <w:t>up compared with the reference</w:t>
      </w:r>
      <w:r>
        <w:rPr>
          <w:spacing w:val="-7"/>
        </w:rPr>
        <w:t xml:space="preserve"> </w:t>
      </w:r>
      <w:r>
        <w:t>group.</w:t>
      </w:r>
    </w:p>
    <w:p w:rsidR="005330BF" w:rsidRDefault="00136814">
      <w:pPr>
        <w:pStyle w:val="BodyText"/>
        <w:spacing w:before="151" w:line="278" w:lineRule="auto"/>
        <w:ind w:right="1628"/>
      </w:pPr>
      <w:r>
        <w:t>A</w:t>
      </w:r>
      <w:r>
        <w:rPr>
          <w:spacing w:val="-44"/>
        </w:rPr>
        <w:t xml:space="preserve"> </w:t>
      </w:r>
      <w:r>
        <w:t>risk ratio or incidence rate ratio of 1 indicates that there is no difference between the two groups being compared i.e., the ratio is</w:t>
      </w:r>
      <w:r>
        <w:rPr>
          <w:spacing w:val="-13"/>
        </w:rPr>
        <w:t xml:space="preserve"> </w:t>
      </w:r>
      <w:r>
        <w:t>1:1.</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Heading3"/>
        <w:spacing w:before="45"/>
      </w:pPr>
      <w:r>
        <w:t>95% Confidence Intervals</w:t>
      </w:r>
    </w:p>
    <w:p w:rsidR="005330BF" w:rsidRDefault="00136814">
      <w:pPr>
        <w:pStyle w:val="BodyText"/>
        <w:spacing w:before="40" w:line="278" w:lineRule="auto"/>
        <w:ind w:right="1749"/>
      </w:pPr>
      <w:r>
        <w:t>When performing statistical analy</w:t>
      </w:r>
      <w:r>
        <w:t>sis on a sample of people there is always some uncertainty that the value calculated in this sample will be the same as the value we would get if we were able to do the same calculation in the whole population. Because of this, in addition to the calculate</w:t>
      </w:r>
      <w:r>
        <w:t xml:space="preserve">d risk ratio or incidence rate ratio, a 95% confidence interval is calculated. This presents a range in which we are 95% sure that the risk ratio or incidence rate ratio for the whole population will be. The bars around the calculated ratio on each figure </w:t>
      </w:r>
      <w:r>
        <w:t>represent this.</w:t>
      </w:r>
    </w:p>
    <w:p w:rsidR="005330BF" w:rsidRDefault="00136814">
      <w:pPr>
        <w:pStyle w:val="BodyText"/>
        <w:spacing w:before="150" w:line="278" w:lineRule="auto"/>
        <w:ind w:right="1822"/>
      </w:pPr>
      <w:r>
        <w:t>If the 95% confidence interval for a risk ratio or incidence rate ratio does not include 1 then we would consider this statistically significant evidence for a difference between the groups being compared (since a value of 1 indicates no di</w:t>
      </w:r>
      <w:r>
        <w:t>fference between groups).</w:t>
      </w:r>
    </w:p>
    <w:p w:rsidR="005330BF" w:rsidRDefault="00136814">
      <w:pPr>
        <w:pStyle w:val="BodyText"/>
        <w:spacing w:before="150" w:line="278" w:lineRule="auto"/>
        <w:ind w:right="1847"/>
      </w:pPr>
      <w:r>
        <w:t>For example, a 95% confidence interval that ranges from 0.94—1.33 would not be considered to provide evidence of a statistical difference between groups as the 95% confidence interval includes values both above and below 1. In con</w:t>
      </w:r>
      <w:r>
        <w:t>trast, a 95% confidence interval that ranges from 1.14—1.33 would be considered to provide statistical evidence of a difference between groups as all values in the 95% confidence interval are greater than 1.</w:t>
      </w:r>
    </w:p>
    <w:p w:rsidR="005330BF" w:rsidRDefault="00136814">
      <w:pPr>
        <w:pStyle w:val="BodyText"/>
        <w:spacing w:before="151" w:line="278" w:lineRule="auto"/>
        <w:ind w:right="1859"/>
      </w:pPr>
      <w:r>
        <w:t>Confidence intervals vary in size depending on t</w:t>
      </w:r>
      <w:r>
        <w:t>he amount of information available. If an outcome is common, we can be more certain about our calculation and the 95% confidence interval will be small. If the outcome is rare, we have less information, can be less sure about the calculated value, and so t</w:t>
      </w:r>
      <w:r>
        <w:t>he 95% confidence interval will be larger.</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Heading1"/>
      </w:pPr>
      <w:bookmarkStart w:id="18" w:name="Results"/>
      <w:bookmarkStart w:id="19" w:name="Characteristics_of_Study_Groups"/>
      <w:bookmarkStart w:id="20" w:name="_bookmark8"/>
      <w:bookmarkEnd w:id="18"/>
      <w:bookmarkEnd w:id="19"/>
      <w:bookmarkEnd w:id="20"/>
      <w:r>
        <w:rPr>
          <w:color w:val="58595B"/>
        </w:rPr>
        <w:t>Results</w:t>
      </w:r>
    </w:p>
    <w:p w:rsidR="005330BF" w:rsidRDefault="00136814">
      <w:pPr>
        <w:pStyle w:val="Heading2"/>
        <w:spacing w:before="390"/>
      </w:pPr>
      <w:r>
        <w:rPr>
          <w:color w:val="3B4D96"/>
        </w:rPr>
        <w:t>CHARACTERISTICS OF STUDY GROUPS</w:t>
      </w:r>
    </w:p>
    <w:p w:rsidR="005330BF" w:rsidRDefault="00136814">
      <w:pPr>
        <w:pStyle w:val="BodyText"/>
        <w:spacing w:before="185" w:line="278" w:lineRule="auto"/>
        <w:ind w:right="1675"/>
      </w:pPr>
      <w:r>
        <w:t>There were a total 11,296 working age adults surveyed in the 2014/15 edition of the NHS. This included a total of 638 DSP recipients, 442 NSA recipients and 8440 people who met our definition of wage earners. There were a further 1776 individuals of workin</w:t>
      </w:r>
      <w:r>
        <w:t>g age who participated in the survey but did not fit the criteria of any group and these people were excluded from</w:t>
      </w:r>
    </w:p>
    <w:p w:rsidR="005330BF" w:rsidRDefault="00136814">
      <w:pPr>
        <w:pStyle w:val="BodyText"/>
      </w:pPr>
      <w:r>
        <w:t>further analyses.</w:t>
      </w:r>
    </w:p>
    <w:p w:rsidR="005330BF" w:rsidRDefault="00136814">
      <w:pPr>
        <w:pStyle w:val="BodyText"/>
        <w:spacing w:before="190" w:line="276" w:lineRule="auto"/>
        <w:ind w:right="1225"/>
      </w:pPr>
      <w:hyperlink w:anchor="_bookmark10" w:history="1">
        <w:r>
          <w:rPr>
            <w:b/>
            <w:color w:val="25408F"/>
          </w:rPr>
          <w:t xml:space="preserve">Table 1 </w:t>
        </w:r>
      </w:hyperlink>
      <w:r>
        <w:t>shows the characteristics of those in each of the three study groups. There were ver</w:t>
      </w:r>
      <w:r>
        <w:t>y large differences in the age profiles between groups.</w:t>
      </w:r>
    </w:p>
    <w:p w:rsidR="005330BF" w:rsidRDefault="00136814">
      <w:pPr>
        <w:pStyle w:val="BodyText"/>
        <w:spacing w:before="3" w:line="278" w:lineRule="auto"/>
        <w:ind w:right="1700"/>
      </w:pPr>
      <w:r>
        <w:t>For example one in five wage earners were aged 55 to 64 years, whereas in the NSA group this was one in four, and in the DSP group nearly one in two. Females comprised 49%, 54%, and 57% of the wage ea</w:t>
      </w:r>
      <w:r>
        <w:t>rners, DSP and NSA groups, respectively.</w:t>
      </w:r>
    </w:p>
    <w:p w:rsidR="005330BF" w:rsidRDefault="00136814">
      <w:pPr>
        <w:pStyle w:val="BodyText"/>
        <w:spacing w:before="150" w:line="278" w:lineRule="auto"/>
        <w:ind w:right="1628"/>
      </w:pPr>
      <w:r>
        <w:t>Over half of DSP recipients and two in five NSA recipients had not completed high school, in comparison to 15% in the wage earners group.</w:t>
      </w:r>
    </w:p>
    <w:p w:rsidR="005330BF" w:rsidRDefault="00136814">
      <w:pPr>
        <w:pStyle w:val="BodyText"/>
        <w:spacing w:line="278" w:lineRule="auto"/>
        <w:ind w:right="1823"/>
      </w:pPr>
      <w:r>
        <w:t>Correspondingly, DSP and NSA recipients were much less likely to have tertiar</w:t>
      </w:r>
      <w:r>
        <w:t xml:space="preserve">y qualifications. The socioeconomic status of DSP and NSA recipients also differed from wage earners with approximately three quarters classified in the lower half of the socioeconomic scale. Less than one in five DSP and NSA recipients had private health </w:t>
      </w:r>
      <w:r>
        <w:t>insurance, compared to two thirds of the wage earners group. DSP and NSA recipients were less likely to have consumed alcohol in the week preceding the survey.</w:t>
      </w:r>
    </w:p>
    <w:p w:rsidR="005330BF" w:rsidRDefault="00136814">
      <w:pPr>
        <w:pStyle w:val="BodyText"/>
        <w:spacing w:before="151" w:line="278" w:lineRule="auto"/>
        <w:ind w:right="1669"/>
      </w:pPr>
      <w:r>
        <w:t xml:space="preserve">Thirty percent of DSP recipients reported severe core activity limitation and 44% moderate/mild </w:t>
      </w:r>
      <w:r>
        <w:t xml:space="preserve">limitation. </w:t>
      </w:r>
      <w:r>
        <w:rPr>
          <w:spacing w:val="-3"/>
        </w:rPr>
        <w:t xml:space="preserve">However, </w:t>
      </w:r>
      <w:r>
        <w:t xml:space="preserve">seventy-one DSP recipients </w:t>
      </w:r>
      <w:r>
        <w:rPr>
          <w:spacing w:val="-4"/>
        </w:rPr>
        <w:t xml:space="preserve">(11%) </w:t>
      </w:r>
      <w:r>
        <w:t xml:space="preserve">did not report having a disability or long-term health condition. This may be explained by an unwillingness to disclose this information in the </w:t>
      </w:r>
      <w:r>
        <w:rPr>
          <w:spacing w:val="-3"/>
        </w:rPr>
        <w:t xml:space="preserve">survey, </w:t>
      </w:r>
      <w:r>
        <w:t>or the survey respondents not perceiving themselve</w:t>
      </w:r>
      <w:r>
        <w:t>s as disabled despite having health conditions. Just under three quarters of the wage earners reported no disability or long-term health condition. In the NSA group 47% reported no disability or long-term health condition, 24% reported a mild/moderate core</w:t>
      </w:r>
      <w:r>
        <w:t xml:space="preserve"> activity limitation and 4% severe</w:t>
      </w:r>
      <w:r>
        <w:rPr>
          <w:spacing w:val="-7"/>
        </w:rPr>
        <w:t xml:space="preserve"> </w:t>
      </w:r>
      <w:r>
        <w:t>limitation.</w:t>
      </w:r>
    </w:p>
    <w:p w:rsidR="005330BF" w:rsidRDefault="00136814">
      <w:pPr>
        <w:pStyle w:val="BodyText"/>
        <w:spacing w:before="150" w:line="278" w:lineRule="auto"/>
        <w:ind w:right="1737"/>
      </w:pPr>
      <w:r>
        <w:t xml:space="preserve">Physical disability was the most common main disability type reported in all groups. In both the DSP and NSA group psychological disability was the second most common main disability type, followed by ‘other’ </w:t>
      </w:r>
      <w:r>
        <w:t>disabilities and then disability in sight, hearing and speech.</w:t>
      </w:r>
    </w:p>
    <w:p w:rsidR="005330BF" w:rsidRDefault="005330BF">
      <w:pPr>
        <w:spacing w:line="278" w:lineRule="auto"/>
        <w:sectPr w:rsidR="005330BF">
          <w:pgSz w:w="11910" w:h="16840"/>
          <w:pgMar w:top="1060" w:right="540" w:bottom="560" w:left="740" w:header="0" w:footer="29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3743"/>
        <w:gridCol w:w="2134"/>
        <w:gridCol w:w="1507"/>
        <w:gridCol w:w="1736"/>
      </w:tblGrid>
      <w:tr w:rsidR="005330BF">
        <w:trPr>
          <w:trHeight w:val="583"/>
        </w:trPr>
        <w:tc>
          <w:tcPr>
            <w:tcW w:w="9120" w:type="dxa"/>
            <w:gridSpan w:val="4"/>
            <w:tcBorders>
              <w:bottom w:val="single" w:sz="4" w:space="0" w:color="000000"/>
            </w:tcBorders>
          </w:tcPr>
          <w:p w:rsidR="005330BF" w:rsidRDefault="00136814">
            <w:pPr>
              <w:pStyle w:val="TableParagraph"/>
              <w:spacing w:before="0" w:line="180" w:lineRule="exact"/>
              <w:rPr>
                <w:b/>
                <w:sz w:val="18"/>
              </w:rPr>
            </w:pPr>
            <w:bookmarkStart w:id="21" w:name="Table_1._Characteristics_of_Wage_Earners"/>
            <w:bookmarkStart w:id="22" w:name="_bookmark9"/>
            <w:bookmarkEnd w:id="21"/>
            <w:bookmarkEnd w:id="22"/>
            <w:r>
              <w:rPr>
                <w:b/>
                <w:color w:val="25408F"/>
                <w:sz w:val="18"/>
              </w:rPr>
              <w:t>TABLE 1. CHARACTERISTICS OF WAGE EARNERS, DISABILITY SUPPORT PENSION AND NEWSTART</w:t>
            </w:r>
          </w:p>
          <w:p w:rsidR="005330BF" w:rsidRDefault="00136814">
            <w:pPr>
              <w:pStyle w:val="TableParagraph"/>
              <w:spacing w:before="65"/>
              <w:rPr>
                <w:b/>
                <w:sz w:val="18"/>
              </w:rPr>
            </w:pPr>
            <w:r>
              <w:rPr>
                <w:b/>
                <w:color w:val="25408F"/>
                <w:sz w:val="18"/>
              </w:rPr>
              <w:t>ALLOWANCE GROUPS</w:t>
            </w:r>
          </w:p>
        </w:tc>
      </w:tr>
      <w:tr w:rsidR="005330BF">
        <w:trPr>
          <w:trHeight w:val="705"/>
        </w:trPr>
        <w:tc>
          <w:tcPr>
            <w:tcW w:w="3743" w:type="dxa"/>
            <w:tcBorders>
              <w:top w:val="single" w:sz="4" w:space="0" w:color="000000"/>
              <w:bottom w:val="single" w:sz="4" w:space="0" w:color="000000"/>
            </w:tcBorders>
          </w:tcPr>
          <w:p w:rsidR="005330BF" w:rsidRDefault="005330BF">
            <w:pPr>
              <w:pStyle w:val="TableParagraph"/>
              <w:spacing w:before="0"/>
              <w:ind w:left="0"/>
              <w:rPr>
                <w:rFonts w:ascii="Times New Roman"/>
                <w:sz w:val="16"/>
              </w:rPr>
            </w:pPr>
          </w:p>
        </w:tc>
        <w:tc>
          <w:tcPr>
            <w:tcW w:w="2134" w:type="dxa"/>
            <w:tcBorders>
              <w:top w:val="single" w:sz="4" w:space="0" w:color="000000"/>
              <w:bottom w:val="single" w:sz="4" w:space="0" w:color="000000"/>
            </w:tcBorders>
          </w:tcPr>
          <w:p w:rsidR="005330BF" w:rsidRDefault="00136814">
            <w:pPr>
              <w:pStyle w:val="TableParagraph"/>
              <w:spacing w:before="127" w:line="268" w:lineRule="auto"/>
              <w:ind w:left="735"/>
              <w:rPr>
                <w:b/>
                <w:sz w:val="18"/>
              </w:rPr>
            </w:pPr>
            <w:r>
              <w:rPr>
                <w:b/>
                <w:color w:val="25408F"/>
                <w:sz w:val="18"/>
              </w:rPr>
              <w:t>Wage Earners (Column %)</w:t>
            </w:r>
          </w:p>
        </w:tc>
        <w:tc>
          <w:tcPr>
            <w:tcW w:w="1507" w:type="dxa"/>
            <w:tcBorders>
              <w:top w:val="single" w:sz="4" w:space="0" w:color="000000"/>
              <w:bottom w:val="single" w:sz="4" w:space="0" w:color="000000"/>
            </w:tcBorders>
          </w:tcPr>
          <w:p w:rsidR="005330BF" w:rsidRDefault="00136814">
            <w:pPr>
              <w:pStyle w:val="TableParagraph"/>
              <w:spacing w:before="127" w:line="268" w:lineRule="auto"/>
              <w:ind w:left="206" w:right="281"/>
              <w:rPr>
                <w:b/>
                <w:sz w:val="18"/>
              </w:rPr>
            </w:pPr>
            <w:r>
              <w:rPr>
                <w:b/>
                <w:color w:val="25408F"/>
                <w:sz w:val="18"/>
              </w:rPr>
              <w:t>DSP Group (Column %)</w:t>
            </w:r>
          </w:p>
        </w:tc>
        <w:tc>
          <w:tcPr>
            <w:tcW w:w="1736" w:type="dxa"/>
            <w:tcBorders>
              <w:top w:val="single" w:sz="4" w:space="0" w:color="000000"/>
              <w:bottom w:val="single" w:sz="4" w:space="0" w:color="000000"/>
            </w:tcBorders>
          </w:tcPr>
          <w:p w:rsidR="005330BF" w:rsidRDefault="00136814">
            <w:pPr>
              <w:pStyle w:val="TableParagraph"/>
              <w:spacing w:before="127" w:line="268" w:lineRule="auto"/>
              <w:ind w:left="303" w:right="413"/>
              <w:rPr>
                <w:b/>
                <w:sz w:val="18"/>
              </w:rPr>
            </w:pPr>
            <w:r>
              <w:rPr>
                <w:b/>
                <w:color w:val="25408F"/>
                <w:sz w:val="18"/>
              </w:rPr>
              <w:t>NSA Group (Column %)</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Total Number Included in Sample</w:t>
            </w:r>
          </w:p>
        </w:tc>
        <w:tc>
          <w:tcPr>
            <w:tcW w:w="2134" w:type="dxa"/>
            <w:tcBorders>
              <w:top w:val="single" w:sz="4" w:space="0" w:color="000000"/>
              <w:bottom w:val="single" w:sz="4" w:space="0" w:color="000000"/>
            </w:tcBorders>
          </w:tcPr>
          <w:p w:rsidR="005330BF" w:rsidRDefault="00136814">
            <w:pPr>
              <w:pStyle w:val="TableParagraph"/>
              <w:spacing w:before="127"/>
              <w:ind w:left="735"/>
              <w:rPr>
                <w:b/>
                <w:sz w:val="18"/>
              </w:rPr>
            </w:pPr>
            <w:r>
              <w:rPr>
                <w:b/>
                <w:sz w:val="18"/>
              </w:rPr>
              <w:t>8440 (100%)</w:t>
            </w:r>
          </w:p>
        </w:tc>
        <w:tc>
          <w:tcPr>
            <w:tcW w:w="1507" w:type="dxa"/>
            <w:tcBorders>
              <w:top w:val="single" w:sz="4" w:space="0" w:color="000000"/>
              <w:bottom w:val="single" w:sz="4" w:space="0" w:color="000000"/>
            </w:tcBorders>
          </w:tcPr>
          <w:p w:rsidR="005330BF" w:rsidRDefault="00136814">
            <w:pPr>
              <w:pStyle w:val="TableParagraph"/>
              <w:spacing w:before="127"/>
              <w:ind w:left="206"/>
              <w:rPr>
                <w:b/>
                <w:sz w:val="18"/>
              </w:rPr>
            </w:pPr>
            <w:r>
              <w:rPr>
                <w:b/>
                <w:sz w:val="18"/>
              </w:rPr>
              <w:t>638 (100%)</w:t>
            </w:r>
          </w:p>
        </w:tc>
        <w:tc>
          <w:tcPr>
            <w:tcW w:w="1736" w:type="dxa"/>
            <w:tcBorders>
              <w:top w:val="single" w:sz="4" w:space="0" w:color="000000"/>
              <w:bottom w:val="single" w:sz="4" w:space="0" w:color="000000"/>
            </w:tcBorders>
          </w:tcPr>
          <w:p w:rsidR="005330BF" w:rsidRDefault="00136814">
            <w:pPr>
              <w:pStyle w:val="TableParagraph"/>
              <w:spacing w:before="127"/>
              <w:ind w:left="303"/>
              <w:rPr>
                <w:b/>
                <w:sz w:val="18"/>
              </w:rPr>
            </w:pPr>
            <w:r>
              <w:rPr>
                <w:b/>
                <w:sz w:val="18"/>
              </w:rPr>
              <w:t>442 (100%)</w:t>
            </w:r>
          </w:p>
        </w:tc>
      </w:tr>
      <w:tr w:rsidR="005330BF">
        <w:trPr>
          <w:trHeight w:val="465"/>
        </w:trPr>
        <w:tc>
          <w:tcPr>
            <w:tcW w:w="3743" w:type="dxa"/>
            <w:tcBorders>
              <w:top w:val="single" w:sz="4" w:space="0" w:color="000000"/>
              <w:bottom w:val="single" w:sz="4" w:space="0" w:color="000000"/>
            </w:tcBorders>
            <w:shd w:val="clear" w:color="auto" w:fill="E2ECF1"/>
          </w:tcPr>
          <w:p w:rsidR="005330BF" w:rsidRDefault="00136814">
            <w:pPr>
              <w:pStyle w:val="TableParagraph"/>
              <w:spacing w:before="127"/>
              <w:rPr>
                <w:b/>
                <w:sz w:val="18"/>
              </w:rPr>
            </w:pPr>
            <w:r>
              <w:rPr>
                <w:b/>
                <w:sz w:val="18"/>
              </w:rPr>
              <w:t>Age in Years</w:t>
            </w:r>
          </w:p>
        </w:tc>
        <w:tc>
          <w:tcPr>
            <w:tcW w:w="2134" w:type="dxa"/>
            <w:tcBorders>
              <w:top w:val="single" w:sz="4" w:space="0" w:color="000000"/>
              <w:bottom w:val="single" w:sz="4" w:space="0" w:color="000000"/>
            </w:tcBorders>
            <w:shd w:val="clear" w:color="auto" w:fill="E2ECF1"/>
          </w:tcPr>
          <w:p w:rsidR="005330BF" w:rsidRDefault="005330BF">
            <w:pPr>
              <w:pStyle w:val="TableParagraph"/>
              <w:spacing w:before="0"/>
              <w:ind w:left="0"/>
              <w:rPr>
                <w:rFonts w:ascii="Times New Roman"/>
                <w:sz w:val="16"/>
              </w:rPr>
            </w:pPr>
          </w:p>
        </w:tc>
        <w:tc>
          <w:tcPr>
            <w:tcW w:w="1507" w:type="dxa"/>
            <w:tcBorders>
              <w:top w:val="single" w:sz="4" w:space="0" w:color="000000"/>
              <w:bottom w:val="single" w:sz="4" w:space="0" w:color="000000"/>
            </w:tcBorders>
            <w:shd w:val="clear" w:color="auto" w:fill="E2ECF1"/>
          </w:tcPr>
          <w:p w:rsidR="005330BF" w:rsidRDefault="005330BF">
            <w:pPr>
              <w:pStyle w:val="TableParagraph"/>
              <w:spacing w:before="0"/>
              <w:ind w:left="0"/>
              <w:rPr>
                <w:rFonts w:ascii="Times New Roman"/>
                <w:sz w:val="16"/>
              </w:rPr>
            </w:pPr>
          </w:p>
        </w:tc>
        <w:tc>
          <w:tcPr>
            <w:tcW w:w="1736" w:type="dxa"/>
            <w:tcBorders>
              <w:top w:val="single" w:sz="4" w:space="0" w:color="000000"/>
              <w:bottom w:val="single" w:sz="4" w:space="0" w:color="000000"/>
            </w:tcBorders>
            <w:shd w:val="clear" w:color="auto" w:fill="E2ECF1"/>
          </w:tcPr>
          <w:p w:rsidR="005330BF" w:rsidRDefault="005330BF">
            <w:pPr>
              <w:pStyle w:val="TableParagraph"/>
              <w:spacing w:before="0"/>
              <w:ind w:left="0"/>
              <w:rPr>
                <w:rFonts w:ascii="Times New Roman"/>
                <w:sz w:val="16"/>
              </w:rPr>
            </w:pP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18 to 24</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765 (9.1%)</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25 (3.9%)</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34 (7.7%)</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25 to 34</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1945 (23.0%)</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36 (5.6%)</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70 (15.8%)</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35 to 44</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2117 (25.1%)</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98 (15.4%)</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107 (24.2%)</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45 to 54</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1957 (23.2%)</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171 (26.8%)</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113 (25.6%)</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55 to 64</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1656 (19.6%)</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308 (48.3%)</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118 (26.7%)</w:t>
            </w:r>
          </w:p>
        </w:tc>
      </w:tr>
      <w:tr w:rsidR="005330BF">
        <w:trPr>
          <w:trHeight w:val="465"/>
        </w:trPr>
        <w:tc>
          <w:tcPr>
            <w:tcW w:w="3743"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Sex</w:t>
            </w:r>
          </w:p>
        </w:tc>
        <w:tc>
          <w:tcPr>
            <w:tcW w:w="2134"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50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736"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Male</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4310 (51.1%)</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293 (45.9%)</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188 (42.5%)</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Female</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4130 (48.9%)</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345 (54.1%)</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254 (57.5%)</w:t>
            </w:r>
          </w:p>
        </w:tc>
      </w:tr>
      <w:tr w:rsidR="005330BF">
        <w:trPr>
          <w:trHeight w:val="465"/>
        </w:trPr>
        <w:tc>
          <w:tcPr>
            <w:tcW w:w="3743"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Highest Level of Education</w:t>
            </w:r>
          </w:p>
        </w:tc>
        <w:tc>
          <w:tcPr>
            <w:tcW w:w="2134"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50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736"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Less than Year 12</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1232 (14.8%)</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331 (53.0%)</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172 (39.9%)</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Year 12</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1125 (13.5%)</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83 (13.3%)</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48 (11.1%)</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Certificate or Diploma</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2902 (34.9%)</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166 (26.6%)</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160 (37.1%)</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Bachelor Degree</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1948 (23.4%)</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37 (5.9%)</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36 (8.4%)</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Postgraduate Degree</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1101 (13.3%)</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8 (1.3%)</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15 (3.5%)</w:t>
            </w:r>
          </w:p>
        </w:tc>
      </w:tr>
      <w:tr w:rsidR="005330BF">
        <w:trPr>
          <w:trHeight w:val="465"/>
        </w:trPr>
        <w:tc>
          <w:tcPr>
            <w:tcW w:w="3743"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Proficiency in Spoken English</w:t>
            </w:r>
          </w:p>
        </w:tc>
        <w:tc>
          <w:tcPr>
            <w:tcW w:w="2134"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50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736"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Not well/Not at all</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114 (1.4%)</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14 (2.2%)</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25 (5.7%)</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Well/Very well</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731 (8.7%)</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21 (3.3%)</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24 (5.4%)</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Mainly speaks English at home</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7595 (90.0%)</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600 (94.5%)</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393 (88.9%)</w:t>
            </w:r>
          </w:p>
        </w:tc>
      </w:tr>
      <w:tr w:rsidR="005330BF">
        <w:trPr>
          <w:trHeight w:val="465"/>
        </w:trPr>
        <w:tc>
          <w:tcPr>
            <w:tcW w:w="9120" w:type="dxa"/>
            <w:gridSpan w:val="4"/>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Index of Relative Socio-economic Disadvantage</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Lowest socioeconomic half</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3526 (41.8%)</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506 (79.3%)</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318 (71.9%)</w:t>
            </w:r>
          </w:p>
        </w:tc>
      </w:tr>
      <w:tr w:rsidR="005330BF">
        <w:trPr>
          <w:trHeight w:val="465"/>
        </w:trPr>
        <w:tc>
          <w:tcPr>
            <w:tcW w:w="3743" w:type="dxa"/>
            <w:tcBorders>
              <w:top w:val="single" w:sz="4" w:space="0" w:color="000000"/>
              <w:bottom w:val="single" w:sz="4" w:space="0" w:color="000000"/>
            </w:tcBorders>
          </w:tcPr>
          <w:p w:rsidR="005330BF" w:rsidRDefault="00136814">
            <w:pPr>
              <w:pStyle w:val="TableParagraph"/>
              <w:rPr>
                <w:sz w:val="18"/>
              </w:rPr>
            </w:pPr>
            <w:r>
              <w:rPr>
                <w:sz w:val="18"/>
              </w:rPr>
              <w:t>Highest socioeconomic half</w:t>
            </w:r>
          </w:p>
        </w:tc>
        <w:tc>
          <w:tcPr>
            <w:tcW w:w="2134" w:type="dxa"/>
            <w:tcBorders>
              <w:top w:val="single" w:sz="4" w:space="0" w:color="000000"/>
              <w:bottom w:val="single" w:sz="4" w:space="0" w:color="000000"/>
            </w:tcBorders>
          </w:tcPr>
          <w:p w:rsidR="005330BF" w:rsidRDefault="00136814">
            <w:pPr>
              <w:pStyle w:val="TableParagraph"/>
              <w:ind w:left="735"/>
              <w:rPr>
                <w:sz w:val="18"/>
              </w:rPr>
            </w:pPr>
            <w:r>
              <w:rPr>
                <w:sz w:val="18"/>
              </w:rPr>
              <w:t>4914 (58.2%)</w:t>
            </w:r>
          </w:p>
        </w:tc>
        <w:tc>
          <w:tcPr>
            <w:tcW w:w="1507" w:type="dxa"/>
            <w:tcBorders>
              <w:top w:val="single" w:sz="4" w:space="0" w:color="000000"/>
              <w:bottom w:val="single" w:sz="4" w:space="0" w:color="000000"/>
            </w:tcBorders>
          </w:tcPr>
          <w:p w:rsidR="005330BF" w:rsidRDefault="00136814">
            <w:pPr>
              <w:pStyle w:val="TableParagraph"/>
              <w:ind w:left="206"/>
              <w:rPr>
                <w:sz w:val="18"/>
              </w:rPr>
            </w:pPr>
            <w:r>
              <w:rPr>
                <w:sz w:val="18"/>
              </w:rPr>
              <w:t>132 (20.7%)</w:t>
            </w:r>
          </w:p>
        </w:tc>
        <w:tc>
          <w:tcPr>
            <w:tcW w:w="1736" w:type="dxa"/>
            <w:tcBorders>
              <w:top w:val="single" w:sz="4" w:space="0" w:color="000000"/>
              <w:bottom w:val="single" w:sz="4" w:space="0" w:color="000000"/>
            </w:tcBorders>
          </w:tcPr>
          <w:p w:rsidR="005330BF" w:rsidRDefault="00136814">
            <w:pPr>
              <w:pStyle w:val="TableParagraph"/>
              <w:ind w:left="303"/>
              <w:rPr>
                <w:sz w:val="18"/>
              </w:rPr>
            </w:pPr>
            <w:r>
              <w:rPr>
                <w:sz w:val="18"/>
              </w:rPr>
              <w:t>124 (28.1%)</w:t>
            </w:r>
          </w:p>
        </w:tc>
      </w:tr>
    </w:tbl>
    <w:p w:rsidR="005330BF" w:rsidRDefault="005330BF">
      <w:pPr>
        <w:pStyle w:val="BodyText"/>
        <w:ind w:left="0"/>
      </w:pPr>
      <w:bookmarkStart w:id="23" w:name="_bookmark10"/>
      <w:bookmarkEnd w:id="23"/>
    </w:p>
    <w:p w:rsidR="005330BF" w:rsidRDefault="005330BF">
      <w:pPr>
        <w:sectPr w:rsidR="005330BF">
          <w:pgSz w:w="11910" w:h="16840"/>
          <w:pgMar w:top="1280" w:right="540" w:bottom="480" w:left="740" w:header="0" w:footer="29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3975"/>
        <w:gridCol w:w="1904"/>
        <w:gridCol w:w="1508"/>
        <w:gridCol w:w="1737"/>
      </w:tblGrid>
      <w:tr w:rsidR="005330BF">
        <w:trPr>
          <w:trHeight w:val="583"/>
        </w:trPr>
        <w:tc>
          <w:tcPr>
            <w:tcW w:w="9124" w:type="dxa"/>
            <w:gridSpan w:val="4"/>
            <w:tcBorders>
              <w:bottom w:val="single" w:sz="4" w:space="0" w:color="000000"/>
            </w:tcBorders>
          </w:tcPr>
          <w:p w:rsidR="005330BF" w:rsidRDefault="00136814">
            <w:pPr>
              <w:pStyle w:val="TableParagraph"/>
              <w:spacing w:before="0" w:line="180" w:lineRule="exact"/>
              <w:rPr>
                <w:b/>
                <w:sz w:val="18"/>
              </w:rPr>
            </w:pPr>
            <w:r>
              <w:rPr>
                <w:b/>
                <w:color w:val="25408F"/>
                <w:sz w:val="18"/>
              </w:rPr>
              <w:t>TABLE 1. CHARACTERISTICS OF WAGE EARNERS, DISABILITY SUPPORT PENSION AND NEWSTART</w:t>
            </w:r>
          </w:p>
          <w:p w:rsidR="005330BF" w:rsidRDefault="00136814">
            <w:pPr>
              <w:pStyle w:val="TableParagraph"/>
              <w:spacing w:before="65"/>
              <w:rPr>
                <w:b/>
                <w:sz w:val="18"/>
              </w:rPr>
            </w:pPr>
            <w:r>
              <w:rPr>
                <w:b/>
                <w:color w:val="25408F"/>
                <w:sz w:val="18"/>
              </w:rPr>
              <w:t>ALLOWANCE GROUPS</w:t>
            </w:r>
          </w:p>
        </w:tc>
      </w:tr>
      <w:tr w:rsidR="005330BF">
        <w:trPr>
          <w:trHeight w:val="705"/>
        </w:trPr>
        <w:tc>
          <w:tcPr>
            <w:tcW w:w="3975" w:type="dxa"/>
            <w:tcBorders>
              <w:top w:val="single" w:sz="4" w:space="0" w:color="000000"/>
              <w:bottom w:val="single" w:sz="4" w:space="0" w:color="000000"/>
            </w:tcBorders>
          </w:tcPr>
          <w:p w:rsidR="005330BF" w:rsidRDefault="005330BF">
            <w:pPr>
              <w:pStyle w:val="TableParagraph"/>
              <w:spacing w:before="0"/>
              <w:ind w:left="0"/>
              <w:rPr>
                <w:rFonts w:ascii="Times New Roman"/>
                <w:sz w:val="16"/>
              </w:rPr>
            </w:pPr>
          </w:p>
        </w:tc>
        <w:tc>
          <w:tcPr>
            <w:tcW w:w="1904" w:type="dxa"/>
            <w:tcBorders>
              <w:top w:val="single" w:sz="4" w:space="0" w:color="000000"/>
              <w:bottom w:val="single" w:sz="4" w:space="0" w:color="000000"/>
            </w:tcBorders>
          </w:tcPr>
          <w:p w:rsidR="005330BF" w:rsidRDefault="00136814">
            <w:pPr>
              <w:pStyle w:val="TableParagraph"/>
              <w:spacing w:before="127" w:line="268" w:lineRule="auto"/>
              <w:ind w:left="503"/>
              <w:rPr>
                <w:b/>
                <w:sz w:val="18"/>
              </w:rPr>
            </w:pPr>
            <w:r>
              <w:rPr>
                <w:b/>
                <w:color w:val="25408F"/>
                <w:sz w:val="18"/>
              </w:rPr>
              <w:t>Wage Earners (Column %)</w:t>
            </w:r>
          </w:p>
        </w:tc>
        <w:tc>
          <w:tcPr>
            <w:tcW w:w="1508" w:type="dxa"/>
            <w:tcBorders>
              <w:top w:val="single" w:sz="4" w:space="0" w:color="000000"/>
              <w:bottom w:val="single" w:sz="4" w:space="0" w:color="000000"/>
            </w:tcBorders>
          </w:tcPr>
          <w:p w:rsidR="005330BF" w:rsidRDefault="00136814">
            <w:pPr>
              <w:pStyle w:val="TableParagraph"/>
              <w:spacing w:before="127" w:line="268" w:lineRule="auto"/>
              <w:ind w:left="204" w:right="284"/>
              <w:rPr>
                <w:b/>
                <w:sz w:val="18"/>
              </w:rPr>
            </w:pPr>
            <w:r>
              <w:rPr>
                <w:b/>
                <w:color w:val="25408F"/>
                <w:sz w:val="18"/>
              </w:rPr>
              <w:t>DSP Group (Column %)</w:t>
            </w:r>
          </w:p>
        </w:tc>
        <w:tc>
          <w:tcPr>
            <w:tcW w:w="1737" w:type="dxa"/>
            <w:tcBorders>
              <w:top w:val="single" w:sz="4" w:space="0" w:color="000000"/>
              <w:bottom w:val="single" w:sz="4" w:space="0" w:color="000000"/>
            </w:tcBorders>
          </w:tcPr>
          <w:p w:rsidR="005330BF" w:rsidRDefault="00136814">
            <w:pPr>
              <w:pStyle w:val="TableParagraph"/>
              <w:spacing w:before="127" w:line="268" w:lineRule="auto"/>
              <w:ind w:left="300" w:right="417"/>
              <w:rPr>
                <w:b/>
                <w:sz w:val="18"/>
              </w:rPr>
            </w:pPr>
            <w:r>
              <w:rPr>
                <w:b/>
                <w:color w:val="25408F"/>
                <w:sz w:val="18"/>
              </w:rPr>
              <w:t>NSA Group (Column %)</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Total Number Included in Sample</w:t>
            </w:r>
          </w:p>
        </w:tc>
        <w:tc>
          <w:tcPr>
            <w:tcW w:w="1904" w:type="dxa"/>
            <w:tcBorders>
              <w:top w:val="single" w:sz="4" w:space="0" w:color="000000"/>
              <w:bottom w:val="single" w:sz="4" w:space="0" w:color="000000"/>
            </w:tcBorders>
          </w:tcPr>
          <w:p w:rsidR="005330BF" w:rsidRDefault="00136814">
            <w:pPr>
              <w:pStyle w:val="TableParagraph"/>
              <w:spacing w:before="127"/>
              <w:ind w:left="503"/>
              <w:rPr>
                <w:b/>
                <w:sz w:val="18"/>
              </w:rPr>
            </w:pPr>
            <w:r>
              <w:rPr>
                <w:b/>
                <w:sz w:val="18"/>
              </w:rPr>
              <w:t>8440 (100%)</w:t>
            </w:r>
          </w:p>
        </w:tc>
        <w:tc>
          <w:tcPr>
            <w:tcW w:w="1508" w:type="dxa"/>
            <w:tcBorders>
              <w:top w:val="single" w:sz="4" w:space="0" w:color="000000"/>
              <w:bottom w:val="single" w:sz="4" w:space="0" w:color="000000"/>
            </w:tcBorders>
          </w:tcPr>
          <w:p w:rsidR="005330BF" w:rsidRDefault="00136814">
            <w:pPr>
              <w:pStyle w:val="TableParagraph"/>
              <w:spacing w:before="127"/>
              <w:ind w:left="204"/>
              <w:rPr>
                <w:b/>
                <w:sz w:val="18"/>
              </w:rPr>
            </w:pPr>
            <w:r>
              <w:rPr>
                <w:b/>
                <w:sz w:val="18"/>
              </w:rPr>
              <w:t>638 (100%)</w:t>
            </w:r>
          </w:p>
        </w:tc>
        <w:tc>
          <w:tcPr>
            <w:tcW w:w="1737" w:type="dxa"/>
            <w:tcBorders>
              <w:top w:val="single" w:sz="4" w:space="0" w:color="000000"/>
              <w:bottom w:val="single" w:sz="4" w:space="0" w:color="000000"/>
            </w:tcBorders>
          </w:tcPr>
          <w:p w:rsidR="005330BF" w:rsidRDefault="00136814">
            <w:pPr>
              <w:pStyle w:val="TableParagraph"/>
              <w:spacing w:before="127"/>
              <w:ind w:left="300"/>
              <w:rPr>
                <w:b/>
                <w:sz w:val="18"/>
              </w:rPr>
            </w:pPr>
            <w:r>
              <w:rPr>
                <w:b/>
                <w:sz w:val="18"/>
              </w:rPr>
              <w:t>442 (100%)</w:t>
            </w:r>
          </w:p>
        </w:tc>
      </w:tr>
      <w:tr w:rsidR="005330BF">
        <w:trPr>
          <w:trHeight w:val="465"/>
        </w:trPr>
        <w:tc>
          <w:tcPr>
            <w:tcW w:w="3975"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Disability Status</w:t>
            </w:r>
          </w:p>
        </w:tc>
        <w:tc>
          <w:tcPr>
            <w:tcW w:w="1904"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508"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7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No disability or long-term health condition</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6174 (73.2%)</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71 (11.1%)</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208 (47.1%)</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No limitation or specific restriction</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1248 (14.8%)</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18 (2.8%)</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52 (11.8%)</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Schooling/employment restriction only</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296 (3.5%)</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78 (12.2%)</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58 (13.1%)</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Mild/moderate core activity limitation</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613 (7.3%)</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279 (43.7%)</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106 (24.0%)</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Severe/profound core activity limitation</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109 (1.3%)</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192 (30.1%)</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18 (4.1%)</w:t>
            </w:r>
          </w:p>
        </w:tc>
      </w:tr>
      <w:tr w:rsidR="005330BF">
        <w:trPr>
          <w:trHeight w:val="465"/>
        </w:trPr>
        <w:tc>
          <w:tcPr>
            <w:tcW w:w="3975"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Main Disability Type</w:t>
            </w:r>
          </w:p>
        </w:tc>
        <w:tc>
          <w:tcPr>
            <w:tcW w:w="1904"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508"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7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Sight, hearing, speech</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549 (6.5%)</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31 (4.9%)</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37 (8.4%)</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Physical</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1281 (15.2%)</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299 (46.9%)</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129 (29.2%)</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Intellectual</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53 (0.6%)</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25 (3.9%)</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5 (1.1%)</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Psychological</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141 (1.7%)</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104 (16.3%)</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36 (8.1%)</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Head injury, stroke or brain damage</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7 (0.1%)</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24 (3.8%)</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0 (0.0%)</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Other</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235 (2.8%)</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84 (13.2%)</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27 (6.1%)</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Not applicable</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6174 (73.2%)</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71 (11.1%)</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208 (47.1%)</w:t>
            </w:r>
          </w:p>
        </w:tc>
      </w:tr>
      <w:tr w:rsidR="005330BF">
        <w:trPr>
          <w:trHeight w:val="465"/>
        </w:trPr>
        <w:tc>
          <w:tcPr>
            <w:tcW w:w="9124" w:type="dxa"/>
            <w:gridSpan w:val="4"/>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Currently Covered by Private Health Insurance</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With private health insurance</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5599 (66.5%)</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104 (16.3%)</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84 (19.1%)</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Without private health insurance</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2819 (33.5%)</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534 (83.7%)</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356 (80.9%)</w:t>
            </w:r>
          </w:p>
        </w:tc>
      </w:tr>
      <w:tr w:rsidR="005330BF">
        <w:trPr>
          <w:trHeight w:val="465"/>
        </w:trPr>
        <w:tc>
          <w:tcPr>
            <w:tcW w:w="3975"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Alcohol Risk in Past Week</w:t>
            </w:r>
          </w:p>
        </w:tc>
        <w:tc>
          <w:tcPr>
            <w:tcW w:w="1904"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508"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17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Has not consumed alcohol in past week</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2998 (35.7%)</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389 (61.8%)</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229 (52.3%)</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Low risk</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4424 (52.6%)</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182 (28.9%)</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149 (34.0%)</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Medium risk</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613 (7.3%)</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30 (4.8%)</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30 (6.8%)</w:t>
            </w:r>
          </w:p>
        </w:tc>
      </w:tr>
      <w:tr w:rsidR="005330BF">
        <w:trPr>
          <w:trHeight w:val="465"/>
        </w:trPr>
        <w:tc>
          <w:tcPr>
            <w:tcW w:w="3975" w:type="dxa"/>
            <w:tcBorders>
              <w:top w:val="single" w:sz="4" w:space="0" w:color="000000"/>
              <w:bottom w:val="single" w:sz="4" w:space="0" w:color="000000"/>
            </w:tcBorders>
          </w:tcPr>
          <w:p w:rsidR="005330BF" w:rsidRDefault="00136814">
            <w:pPr>
              <w:pStyle w:val="TableParagraph"/>
              <w:rPr>
                <w:sz w:val="18"/>
              </w:rPr>
            </w:pPr>
            <w:r>
              <w:rPr>
                <w:sz w:val="18"/>
              </w:rPr>
              <w:t>High risk</w:t>
            </w:r>
          </w:p>
        </w:tc>
        <w:tc>
          <w:tcPr>
            <w:tcW w:w="1904" w:type="dxa"/>
            <w:tcBorders>
              <w:top w:val="single" w:sz="4" w:space="0" w:color="000000"/>
              <w:bottom w:val="single" w:sz="4" w:space="0" w:color="000000"/>
            </w:tcBorders>
          </w:tcPr>
          <w:p w:rsidR="005330BF" w:rsidRDefault="00136814">
            <w:pPr>
              <w:pStyle w:val="TableParagraph"/>
              <w:ind w:left="503"/>
              <w:rPr>
                <w:sz w:val="18"/>
              </w:rPr>
            </w:pPr>
            <w:r>
              <w:rPr>
                <w:sz w:val="18"/>
              </w:rPr>
              <w:t>374 (4.4%)</w:t>
            </w:r>
          </w:p>
        </w:tc>
        <w:tc>
          <w:tcPr>
            <w:tcW w:w="1508" w:type="dxa"/>
            <w:tcBorders>
              <w:top w:val="single" w:sz="4" w:space="0" w:color="000000"/>
              <w:bottom w:val="single" w:sz="4" w:space="0" w:color="000000"/>
            </w:tcBorders>
          </w:tcPr>
          <w:p w:rsidR="005330BF" w:rsidRDefault="00136814">
            <w:pPr>
              <w:pStyle w:val="TableParagraph"/>
              <w:ind w:left="204"/>
              <w:rPr>
                <w:sz w:val="18"/>
              </w:rPr>
            </w:pPr>
            <w:r>
              <w:rPr>
                <w:sz w:val="18"/>
              </w:rPr>
              <w:t>28 (4.5%)</w:t>
            </w:r>
          </w:p>
        </w:tc>
        <w:tc>
          <w:tcPr>
            <w:tcW w:w="1737" w:type="dxa"/>
            <w:tcBorders>
              <w:top w:val="single" w:sz="4" w:space="0" w:color="000000"/>
              <w:bottom w:val="single" w:sz="4" w:space="0" w:color="000000"/>
            </w:tcBorders>
          </w:tcPr>
          <w:p w:rsidR="005330BF" w:rsidRDefault="00136814">
            <w:pPr>
              <w:pStyle w:val="TableParagraph"/>
              <w:ind w:left="300"/>
              <w:rPr>
                <w:sz w:val="18"/>
              </w:rPr>
            </w:pPr>
            <w:r>
              <w:rPr>
                <w:sz w:val="18"/>
              </w:rPr>
              <w:t>30 (6.8%)</w:t>
            </w:r>
          </w:p>
        </w:tc>
      </w:tr>
      <w:tr w:rsidR="005330BF">
        <w:trPr>
          <w:trHeight w:val="341"/>
        </w:trPr>
        <w:tc>
          <w:tcPr>
            <w:tcW w:w="9124" w:type="dxa"/>
            <w:gridSpan w:val="4"/>
            <w:tcBorders>
              <w:top w:val="single" w:sz="4" w:space="0" w:color="000000"/>
            </w:tcBorders>
          </w:tcPr>
          <w:p w:rsidR="005330BF" w:rsidRDefault="00136814">
            <w:pPr>
              <w:pStyle w:val="TableParagraph"/>
              <w:spacing w:line="192" w:lineRule="exact"/>
              <w:ind w:left="-1"/>
              <w:rPr>
                <w:i/>
                <w:sz w:val="18"/>
              </w:rPr>
            </w:pPr>
            <w:r>
              <w:rPr>
                <w:i/>
                <w:sz w:val="18"/>
              </w:rPr>
              <w:t>Data is presented as Number (column percentage); DSP = Disability Support Pension; NSA = Newstart Allowance</w:t>
            </w:r>
          </w:p>
        </w:tc>
      </w:tr>
    </w:tbl>
    <w:p w:rsidR="005330BF" w:rsidRDefault="005330BF">
      <w:pPr>
        <w:spacing w:line="192" w:lineRule="exact"/>
        <w:rPr>
          <w:sz w:val="18"/>
        </w:rPr>
        <w:sectPr w:rsidR="005330BF">
          <w:pgSz w:w="11910" w:h="16840"/>
          <w:pgMar w:top="1280" w:right="540" w:bottom="480" w:left="740" w:header="0" w:footer="290" w:gutter="0"/>
          <w:cols w:space="720"/>
        </w:sectPr>
      </w:pPr>
    </w:p>
    <w:p w:rsidR="005330BF" w:rsidRDefault="00136814">
      <w:pPr>
        <w:pStyle w:val="Heading2"/>
        <w:ind w:left="110"/>
      </w:pPr>
      <w:bookmarkStart w:id="24" w:name="_bookmark12"/>
      <w:bookmarkStart w:id="25" w:name="Self-Assessed_Health"/>
      <w:bookmarkStart w:id="26" w:name="Table_2._Number_and_percentage_of_indivi"/>
      <w:bookmarkStart w:id="27" w:name="_bookmark11"/>
      <w:bookmarkEnd w:id="24"/>
      <w:bookmarkEnd w:id="25"/>
      <w:bookmarkEnd w:id="26"/>
      <w:bookmarkEnd w:id="27"/>
      <w:r>
        <w:rPr>
          <w:color w:val="3B4D96"/>
        </w:rPr>
        <w:t>SELF-ASSESSED HEALTH</w:t>
      </w:r>
    </w:p>
    <w:p w:rsidR="005330BF" w:rsidRDefault="00136814">
      <w:pPr>
        <w:pStyle w:val="BodyText"/>
        <w:spacing w:before="186" w:line="278" w:lineRule="auto"/>
        <w:ind w:left="110" w:right="1853"/>
      </w:pPr>
      <w:r>
        <w:t xml:space="preserve">Self-assessed health status is a commonly used measure of general or overall health. It can be a useful measure of average health status when applied in groups or populations. The number and percentage of people in each group who rated their health from 1 </w:t>
      </w:r>
      <w:r>
        <w:t xml:space="preserve">(excellent) to 5 (poor) is provided in </w:t>
      </w:r>
      <w:hyperlink w:anchor="_bookmark12" w:history="1">
        <w:r>
          <w:rPr>
            <w:b/>
            <w:color w:val="25408F"/>
          </w:rPr>
          <w:t>Table 2</w:t>
        </w:r>
      </w:hyperlink>
      <w:r>
        <w:t>.</w:t>
      </w:r>
    </w:p>
    <w:p w:rsidR="005330BF" w:rsidRDefault="00136814">
      <w:pPr>
        <w:pStyle w:val="BodyText"/>
        <w:spacing w:before="146"/>
        <w:ind w:left="110"/>
      </w:pPr>
      <w:r>
        <w:t>Results indicate that:</w:t>
      </w:r>
    </w:p>
    <w:p w:rsidR="005330BF" w:rsidRDefault="00136814">
      <w:pPr>
        <w:pStyle w:val="ListParagraph"/>
        <w:numPr>
          <w:ilvl w:val="0"/>
          <w:numId w:val="2"/>
        </w:numPr>
        <w:tabs>
          <w:tab w:val="left" w:pos="470"/>
          <w:tab w:val="left" w:pos="471"/>
        </w:tabs>
        <w:spacing w:before="191" w:line="278" w:lineRule="auto"/>
        <w:ind w:right="3123"/>
      </w:pPr>
      <w:r>
        <w:t>91.3% of wage earners rate their health as good, very good or excellent, compared with 38.4% of DSP recipients and 66.7% of the NSA</w:t>
      </w:r>
      <w:r>
        <w:rPr>
          <w:spacing w:val="-40"/>
        </w:rPr>
        <w:t xml:space="preserve"> </w:t>
      </w:r>
      <w:r>
        <w:t>group.</w:t>
      </w:r>
    </w:p>
    <w:p w:rsidR="005330BF" w:rsidRDefault="00136814">
      <w:pPr>
        <w:pStyle w:val="ListParagraph"/>
        <w:numPr>
          <w:ilvl w:val="0"/>
          <w:numId w:val="2"/>
        </w:numPr>
        <w:tabs>
          <w:tab w:val="left" w:pos="470"/>
          <w:tab w:val="left" w:pos="471"/>
        </w:tabs>
        <w:spacing w:line="278" w:lineRule="auto"/>
        <w:ind w:right="3112"/>
      </w:pPr>
      <w:r>
        <w:t>More than three in every five people receiving the DSP rated their health as poor or fair</w:t>
      </w:r>
      <w:r>
        <w:rPr>
          <w:spacing w:val="-4"/>
        </w:rPr>
        <w:t xml:space="preserve"> </w:t>
      </w:r>
      <w:r>
        <w:t>(61.6%)</w:t>
      </w:r>
    </w:p>
    <w:p w:rsidR="005330BF" w:rsidRDefault="00136814">
      <w:pPr>
        <w:pStyle w:val="ListParagraph"/>
        <w:numPr>
          <w:ilvl w:val="0"/>
          <w:numId w:val="2"/>
        </w:numPr>
        <w:tabs>
          <w:tab w:val="left" w:pos="470"/>
          <w:tab w:val="left" w:pos="471"/>
        </w:tabs>
      </w:pPr>
      <w:r>
        <w:t>One third of NSA recipients rated their health as poor or fair</w:t>
      </w:r>
      <w:r>
        <w:rPr>
          <w:spacing w:val="-21"/>
        </w:rPr>
        <w:t xml:space="preserve"> </w:t>
      </w:r>
      <w:r>
        <w:t>(33.3%).</w:t>
      </w:r>
    </w:p>
    <w:p w:rsidR="005330BF" w:rsidRDefault="005330BF">
      <w:pPr>
        <w:pStyle w:val="BodyText"/>
        <w:ind w:left="0"/>
        <w:rPr>
          <w:sz w:val="20"/>
        </w:rPr>
      </w:pPr>
    </w:p>
    <w:p w:rsidR="005330BF" w:rsidRDefault="005330BF">
      <w:pPr>
        <w:pStyle w:val="BodyText"/>
        <w:ind w:left="0"/>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2180"/>
        <w:gridCol w:w="1678"/>
        <w:gridCol w:w="1697"/>
        <w:gridCol w:w="2045"/>
      </w:tblGrid>
      <w:tr w:rsidR="005330BF">
        <w:trPr>
          <w:trHeight w:val="583"/>
        </w:trPr>
        <w:tc>
          <w:tcPr>
            <w:tcW w:w="7600" w:type="dxa"/>
            <w:gridSpan w:val="4"/>
            <w:tcBorders>
              <w:bottom w:val="single" w:sz="4" w:space="0" w:color="000000"/>
            </w:tcBorders>
          </w:tcPr>
          <w:p w:rsidR="005330BF" w:rsidRDefault="00136814">
            <w:pPr>
              <w:pStyle w:val="TableParagraph"/>
              <w:spacing w:before="0" w:line="180" w:lineRule="exact"/>
              <w:rPr>
                <w:b/>
                <w:sz w:val="18"/>
              </w:rPr>
            </w:pPr>
            <w:r>
              <w:rPr>
                <w:b/>
                <w:color w:val="25408F"/>
                <w:sz w:val="18"/>
              </w:rPr>
              <w:t>TABLE 2. NUMBER AND PERCENTAGE OF INDIVIDUALS WHO ASSESSED THEIR</w:t>
            </w:r>
          </w:p>
          <w:p w:rsidR="005330BF" w:rsidRDefault="00136814">
            <w:pPr>
              <w:pStyle w:val="TableParagraph"/>
              <w:spacing w:before="65"/>
              <w:rPr>
                <w:b/>
                <w:sz w:val="18"/>
              </w:rPr>
            </w:pPr>
            <w:r>
              <w:rPr>
                <w:b/>
                <w:color w:val="25408F"/>
                <w:sz w:val="18"/>
              </w:rPr>
              <w:t>HEALTH TO BE EXCELLENT, VERY GOOD, GOOD, FAIR OR POOR.</w:t>
            </w:r>
          </w:p>
        </w:tc>
      </w:tr>
      <w:tr w:rsidR="005330BF">
        <w:trPr>
          <w:trHeight w:val="465"/>
        </w:trPr>
        <w:tc>
          <w:tcPr>
            <w:tcW w:w="2180"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Self-Assessed Health</w:t>
            </w:r>
          </w:p>
        </w:tc>
        <w:tc>
          <w:tcPr>
            <w:tcW w:w="1678" w:type="dxa"/>
            <w:tcBorders>
              <w:top w:val="single" w:sz="4" w:space="0" w:color="000000"/>
              <w:bottom w:val="single" w:sz="4" w:space="0" w:color="000000"/>
            </w:tcBorders>
          </w:tcPr>
          <w:p w:rsidR="005330BF" w:rsidRDefault="00136814">
            <w:pPr>
              <w:pStyle w:val="TableParagraph"/>
              <w:spacing w:before="127"/>
              <w:ind w:left="178"/>
              <w:rPr>
                <w:b/>
                <w:sz w:val="18"/>
              </w:rPr>
            </w:pPr>
            <w:r>
              <w:rPr>
                <w:b/>
                <w:color w:val="25408F"/>
                <w:sz w:val="18"/>
              </w:rPr>
              <w:t>Wage Earners</w:t>
            </w:r>
          </w:p>
        </w:tc>
        <w:tc>
          <w:tcPr>
            <w:tcW w:w="1697" w:type="dxa"/>
            <w:tcBorders>
              <w:top w:val="single" w:sz="4" w:space="0" w:color="000000"/>
              <w:bottom w:val="single" w:sz="4" w:space="0" w:color="000000"/>
            </w:tcBorders>
          </w:tcPr>
          <w:p w:rsidR="005330BF" w:rsidRDefault="00136814">
            <w:pPr>
              <w:pStyle w:val="TableParagraph"/>
              <w:spacing w:before="127"/>
              <w:ind w:left="303"/>
              <w:rPr>
                <w:b/>
                <w:sz w:val="18"/>
              </w:rPr>
            </w:pPr>
            <w:r>
              <w:rPr>
                <w:b/>
                <w:color w:val="25408F"/>
                <w:sz w:val="18"/>
              </w:rPr>
              <w:t>DSP Group</w:t>
            </w:r>
          </w:p>
        </w:tc>
        <w:tc>
          <w:tcPr>
            <w:tcW w:w="2045" w:type="dxa"/>
            <w:tcBorders>
              <w:top w:val="single" w:sz="4" w:space="0" w:color="000000"/>
              <w:bottom w:val="single" w:sz="4" w:space="0" w:color="000000"/>
            </w:tcBorders>
          </w:tcPr>
          <w:p w:rsidR="005330BF" w:rsidRDefault="00136814">
            <w:pPr>
              <w:pStyle w:val="TableParagraph"/>
              <w:spacing w:before="127"/>
              <w:ind w:left="410"/>
              <w:rPr>
                <w:b/>
                <w:sz w:val="18"/>
              </w:rPr>
            </w:pPr>
            <w:r>
              <w:rPr>
                <w:b/>
                <w:color w:val="25408F"/>
                <w:sz w:val="18"/>
              </w:rPr>
              <w:t>NSA Group</w:t>
            </w:r>
          </w:p>
        </w:tc>
      </w:tr>
      <w:tr w:rsidR="005330BF">
        <w:trPr>
          <w:trHeight w:val="465"/>
        </w:trPr>
        <w:tc>
          <w:tcPr>
            <w:tcW w:w="2180" w:type="dxa"/>
            <w:tcBorders>
              <w:top w:val="single" w:sz="4" w:space="0" w:color="000000"/>
              <w:bottom w:val="single" w:sz="4" w:space="0" w:color="000000"/>
            </w:tcBorders>
          </w:tcPr>
          <w:p w:rsidR="005330BF" w:rsidRDefault="00136814">
            <w:pPr>
              <w:pStyle w:val="TableParagraph"/>
              <w:rPr>
                <w:sz w:val="18"/>
              </w:rPr>
            </w:pPr>
            <w:r>
              <w:rPr>
                <w:sz w:val="18"/>
              </w:rPr>
              <w:t>Excellent</w:t>
            </w:r>
          </w:p>
        </w:tc>
        <w:tc>
          <w:tcPr>
            <w:tcW w:w="1678" w:type="dxa"/>
            <w:tcBorders>
              <w:top w:val="single" w:sz="4" w:space="0" w:color="000000"/>
              <w:bottom w:val="single" w:sz="4" w:space="0" w:color="000000"/>
            </w:tcBorders>
          </w:tcPr>
          <w:p w:rsidR="005330BF" w:rsidRDefault="00136814">
            <w:pPr>
              <w:pStyle w:val="TableParagraph"/>
              <w:ind w:left="178"/>
              <w:rPr>
                <w:sz w:val="18"/>
              </w:rPr>
            </w:pPr>
            <w:r>
              <w:rPr>
                <w:sz w:val="18"/>
              </w:rPr>
              <w:t>1903 (22.5%)</w:t>
            </w:r>
          </w:p>
        </w:tc>
        <w:tc>
          <w:tcPr>
            <w:tcW w:w="1697" w:type="dxa"/>
            <w:tcBorders>
              <w:top w:val="single" w:sz="4" w:space="0" w:color="000000"/>
              <w:bottom w:val="single" w:sz="4" w:space="0" w:color="000000"/>
            </w:tcBorders>
          </w:tcPr>
          <w:p w:rsidR="005330BF" w:rsidRDefault="00136814">
            <w:pPr>
              <w:pStyle w:val="TableParagraph"/>
              <w:ind w:left="303"/>
              <w:rPr>
                <w:sz w:val="18"/>
              </w:rPr>
            </w:pPr>
            <w:r>
              <w:rPr>
                <w:sz w:val="18"/>
              </w:rPr>
              <w:t>21 (3.3%)</w:t>
            </w:r>
          </w:p>
        </w:tc>
        <w:tc>
          <w:tcPr>
            <w:tcW w:w="2045" w:type="dxa"/>
            <w:tcBorders>
              <w:top w:val="single" w:sz="4" w:space="0" w:color="000000"/>
              <w:bottom w:val="single" w:sz="4" w:space="0" w:color="000000"/>
            </w:tcBorders>
          </w:tcPr>
          <w:p w:rsidR="005330BF" w:rsidRDefault="00136814">
            <w:pPr>
              <w:pStyle w:val="TableParagraph"/>
              <w:ind w:left="410"/>
              <w:rPr>
                <w:sz w:val="18"/>
              </w:rPr>
            </w:pPr>
            <w:r>
              <w:rPr>
                <w:sz w:val="18"/>
              </w:rPr>
              <w:t>46 (10.4%)</w:t>
            </w:r>
          </w:p>
        </w:tc>
      </w:tr>
      <w:tr w:rsidR="005330BF">
        <w:trPr>
          <w:trHeight w:val="465"/>
        </w:trPr>
        <w:tc>
          <w:tcPr>
            <w:tcW w:w="2180" w:type="dxa"/>
            <w:tcBorders>
              <w:top w:val="single" w:sz="4" w:space="0" w:color="000000"/>
              <w:bottom w:val="single" w:sz="4" w:space="0" w:color="000000"/>
            </w:tcBorders>
          </w:tcPr>
          <w:p w:rsidR="005330BF" w:rsidRDefault="00136814">
            <w:pPr>
              <w:pStyle w:val="TableParagraph"/>
              <w:rPr>
                <w:sz w:val="18"/>
              </w:rPr>
            </w:pPr>
            <w:r>
              <w:rPr>
                <w:sz w:val="18"/>
              </w:rPr>
              <w:t>Very Good</w:t>
            </w:r>
          </w:p>
        </w:tc>
        <w:tc>
          <w:tcPr>
            <w:tcW w:w="1678" w:type="dxa"/>
            <w:tcBorders>
              <w:top w:val="single" w:sz="4" w:space="0" w:color="000000"/>
              <w:bottom w:val="single" w:sz="4" w:space="0" w:color="000000"/>
            </w:tcBorders>
          </w:tcPr>
          <w:p w:rsidR="005330BF" w:rsidRDefault="00136814">
            <w:pPr>
              <w:pStyle w:val="TableParagraph"/>
              <w:ind w:left="178"/>
              <w:rPr>
                <w:sz w:val="18"/>
              </w:rPr>
            </w:pPr>
            <w:r>
              <w:rPr>
                <w:sz w:val="18"/>
              </w:rPr>
              <w:t>3425 (40.6%)</w:t>
            </w:r>
          </w:p>
        </w:tc>
        <w:tc>
          <w:tcPr>
            <w:tcW w:w="1697" w:type="dxa"/>
            <w:tcBorders>
              <w:top w:val="single" w:sz="4" w:space="0" w:color="000000"/>
              <w:bottom w:val="single" w:sz="4" w:space="0" w:color="000000"/>
            </w:tcBorders>
          </w:tcPr>
          <w:p w:rsidR="005330BF" w:rsidRDefault="00136814">
            <w:pPr>
              <w:pStyle w:val="TableParagraph"/>
              <w:ind w:left="303"/>
              <w:rPr>
                <w:sz w:val="18"/>
              </w:rPr>
            </w:pPr>
            <w:r>
              <w:rPr>
                <w:sz w:val="18"/>
              </w:rPr>
              <w:t>51 (8.0%)</w:t>
            </w:r>
          </w:p>
        </w:tc>
        <w:tc>
          <w:tcPr>
            <w:tcW w:w="2045" w:type="dxa"/>
            <w:tcBorders>
              <w:top w:val="single" w:sz="4" w:space="0" w:color="000000"/>
              <w:bottom w:val="single" w:sz="4" w:space="0" w:color="000000"/>
            </w:tcBorders>
          </w:tcPr>
          <w:p w:rsidR="005330BF" w:rsidRDefault="00136814">
            <w:pPr>
              <w:pStyle w:val="TableParagraph"/>
              <w:ind w:left="410"/>
              <w:rPr>
                <w:sz w:val="18"/>
              </w:rPr>
            </w:pPr>
            <w:r>
              <w:rPr>
                <w:sz w:val="18"/>
              </w:rPr>
              <w:t>119 (26.9%)</w:t>
            </w:r>
          </w:p>
        </w:tc>
      </w:tr>
      <w:tr w:rsidR="005330BF">
        <w:trPr>
          <w:trHeight w:val="465"/>
        </w:trPr>
        <w:tc>
          <w:tcPr>
            <w:tcW w:w="2180" w:type="dxa"/>
            <w:tcBorders>
              <w:top w:val="single" w:sz="4" w:space="0" w:color="000000"/>
              <w:bottom w:val="single" w:sz="4" w:space="0" w:color="000000"/>
            </w:tcBorders>
          </w:tcPr>
          <w:p w:rsidR="005330BF" w:rsidRDefault="00136814">
            <w:pPr>
              <w:pStyle w:val="TableParagraph"/>
              <w:rPr>
                <w:sz w:val="18"/>
              </w:rPr>
            </w:pPr>
            <w:r>
              <w:rPr>
                <w:sz w:val="18"/>
              </w:rPr>
              <w:t>Good</w:t>
            </w:r>
          </w:p>
        </w:tc>
        <w:tc>
          <w:tcPr>
            <w:tcW w:w="1678" w:type="dxa"/>
            <w:tcBorders>
              <w:top w:val="single" w:sz="4" w:space="0" w:color="000000"/>
              <w:bottom w:val="single" w:sz="4" w:space="0" w:color="000000"/>
            </w:tcBorders>
          </w:tcPr>
          <w:p w:rsidR="005330BF" w:rsidRDefault="00136814">
            <w:pPr>
              <w:pStyle w:val="TableParagraph"/>
              <w:ind w:left="178"/>
              <w:rPr>
                <w:sz w:val="18"/>
              </w:rPr>
            </w:pPr>
            <w:r>
              <w:rPr>
                <w:sz w:val="18"/>
              </w:rPr>
              <w:t>2381 (28.2%)</w:t>
            </w:r>
          </w:p>
        </w:tc>
        <w:tc>
          <w:tcPr>
            <w:tcW w:w="1697" w:type="dxa"/>
            <w:tcBorders>
              <w:top w:val="single" w:sz="4" w:space="0" w:color="000000"/>
              <w:bottom w:val="single" w:sz="4" w:space="0" w:color="000000"/>
            </w:tcBorders>
          </w:tcPr>
          <w:p w:rsidR="005330BF" w:rsidRDefault="00136814">
            <w:pPr>
              <w:pStyle w:val="TableParagraph"/>
              <w:ind w:left="303"/>
              <w:rPr>
                <w:sz w:val="18"/>
              </w:rPr>
            </w:pPr>
            <w:r>
              <w:rPr>
                <w:sz w:val="18"/>
              </w:rPr>
              <w:t>173 (27.1%)</w:t>
            </w:r>
          </w:p>
        </w:tc>
        <w:tc>
          <w:tcPr>
            <w:tcW w:w="2045" w:type="dxa"/>
            <w:tcBorders>
              <w:top w:val="single" w:sz="4" w:space="0" w:color="000000"/>
              <w:bottom w:val="single" w:sz="4" w:space="0" w:color="000000"/>
            </w:tcBorders>
          </w:tcPr>
          <w:p w:rsidR="005330BF" w:rsidRDefault="00136814">
            <w:pPr>
              <w:pStyle w:val="TableParagraph"/>
              <w:ind w:left="410"/>
              <w:rPr>
                <w:sz w:val="18"/>
              </w:rPr>
            </w:pPr>
            <w:r>
              <w:rPr>
                <w:sz w:val="18"/>
              </w:rPr>
              <w:t>130 (29.4%)</w:t>
            </w:r>
          </w:p>
        </w:tc>
      </w:tr>
      <w:tr w:rsidR="005330BF">
        <w:trPr>
          <w:trHeight w:val="465"/>
        </w:trPr>
        <w:tc>
          <w:tcPr>
            <w:tcW w:w="2180" w:type="dxa"/>
            <w:tcBorders>
              <w:top w:val="single" w:sz="4" w:space="0" w:color="000000"/>
              <w:bottom w:val="single" w:sz="4" w:space="0" w:color="000000"/>
            </w:tcBorders>
          </w:tcPr>
          <w:p w:rsidR="005330BF" w:rsidRDefault="00136814">
            <w:pPr>
              <w:pStyle w:val="TableParagraph"/>
              <w:rPr>
                <w:sz w:val="18"/>
              </w:rPr>
            </w:pPr>
            <w:r>
              <w:rPr>
                <w:sz w:val="18"/>
              </w:rPr>
              <w:t>Fair</w:t>
            </w:r>
          </w:p>
        </w:tc>
        <w:tc>
          <w:tcPr>
            <w:tcW w:w="1678" w:type="dxa"/>
            <w:tcBorders>
              <w:top w:val="single" w:sz="4" w:space="0" w:color="000000"/>
              <w:bottom w:val="single" w:sz="4" w:space="0" w:color="000000"/>
            </w:tcBorders>
          </w:tcPr>
          <w:p w:rsidR="005330BF" w:rsidRDefault="00136814">
            <w:pPr>
              <w:pStyle w:val="TableParagraph"/>
              <w:ind w:left="178"/>
              <w:rPr>
                <w:sz w:val="18"/>
              </w:rPr>
            </w:pPr>
            <w:r>
              <w:rPr>
                <w:sz w:val="18"/>
              </w:rPr>
              <w:t>610 (7.2%)</w:t>
            </w:r>
          </w:p>
        </w:tc>
        <w:tc>
          <w:tcPr>
            <w:tcW w:w="1697" w:type="dxa"/>
            <w:tcBorders>
              <w:top w:val="single" w:sz="4" w:space="0" w:color="000000"/>
              <w:bottom w:val="single" w:sz="4" w:space="0" w:color="000000"/>
            </w:tcBorders>
          </w:tcPr>
          <w:p w:rsidR="005330BF" w:rsidRDefault="00136814">
            <w:pPr>
              <w:pStyle w:val="TableParagraph"/>
              <w:ind w:left="303"/>
              <w:rPr>
                <w:sz w:val="18"/>
              </w:rPr>
            </w:pPr>
            <w:r>
              <w:rPr>
                <w:sz w:val="18"/>
              </w:rPr>
              <w:t>208 (32.6%)</w:t>
            </w:r>
          </w:p>
        </w:tc>
        <w:tc>
          <w:tcPr>
            <w:tcW w:w="2045" w:type="dxa"/>
            <w:tcBorders>
              <w:top w:val="single" w:sz="4" w:space="0" w:color="000000"/>
              <w:bottom w:val="single" w:sz="4" w:space="0" w:color="000000"/>
            </w:tcBorders>
          </w:tcPr>
          <w:p w:rsidR="005330BF" w:rsidRDefault="00136814">
            <w:pPr>
              <w:pStyle w:val="TableParagraph"/>
              <w:ind w:left="410"/>
              <w:rPr>
                <w:sz w:val="18"/>
              </w:rPr>
            </w:pPr>
            <w:r>
              <w:rPr>
                <w:sz w:val="18"/>
              </w:rPr>
              <w:t>102 (23.1%)</w:t>
            </w:r>
          </w:p>
        </w:tc>
      </w:tr>
      <w:tr w:rsidR="005330BF">
        <w:trPr>
          <w:trHeight w:val="465"/>
        </w:trPr>
        <w:tc>
          <w:tcPr>
            <w:tcW w:w="2180" w:type="dxa"/>
            <w:tcBorders>
              <w:top w:val="single" w:sz="4" w:space="0" w:color="000000"/>
              <w:bottom w:val="single" w:sz="4" w:space="0" w:color="000000"/>
            </w:tcBorders>
          </w:tcPr>
          <w:p w:rsidR="005330BF" w:rsidRDefault="00136814">
            <w:pPr>
              <w:pStyle w:val="TableParagraph"/>
              <w:rPr>
                <w:sz w:val="18"/>
              </w:rPr>
            </w:pPr>
            <w:r>
              <w:rPr>
                <w:sz w:val="18"/>
              </w:rPr>
              <w:t>Poor</w:t>
            </w:r>
          </w:p>
        </w:tc>
        <w:tc>
          <w:tcPr>
            <w:tcW w:w="1678" w:type="dxa"/>
            <w:tcBorders>
              <w:top w:val="single" w:sz="4" w:space="0" w:color="000000"/>
              <w:bottom w:val="single" w:sz="4" w:space="0" w:color="000000"/>
            </w:tcBorders>
          </w:tcPr>
          <w:p w:rsidR="005330BF" w:rsidRDefault="00136814">
            <w:pPr>
              <w:pStyle w:val="TableParagraph"/>
              <w:ind w:left="178"/>
              <w:rPr>
                <w:sz w:val="18"/>
              </w:rPr>
            </w:pPr>
            <w:r>
              <w:rPr>
                <w:sz w:val="18"/>
              </w:rPr>
              <w:t>121 (1.4%)</w:t>
            </w:r>
          </w:p>
        </w:tc>
        <w:tc>
          <w:tcPr>
            <w:tcW w:w="1697" w:type="dxa"/>
            <w:tcBorders>
              <w:top w:val="single" w:sz="4" w:space="0" w:color="000000"/>
              <w:bottom w:val="single" w:sz="4" w:space="0" w:color="000000"/>
            </w:tcBorders>
          </w:tcPr>
          <w:p w:rsidR="005330BF" w:rsidRDefault="00136814">
            <w:pPr>
              <w:pStyle w:val="TableParagraph"/>
              <w:ind w:left="303"/>
              <w:rPr>
                <w:sz w:val="18"/>
              </w:rPr>
            </w:pPr>
            <w:r>
              <w:rPr>
                <w:sz w:val="18"/>
              </w:rPr>
              <w:t>185 (29.0%)</w:t>
            </w:r>
          </w:p>
        </w:tc>
        <w:tc>
          <w:tcPr>
            <w:tcW w:w="2045" w:type="dxa"/>
            <w:tcBorders>
              <w:top w:val="single" w:sz="4" w:space="0" w:color="000000"/>
              <w:bottom w:val="single" w:sz="4" w:space="0" w:color="000000"/>
            </w:tcBorders>
          </w:tcPr>
          <w:p w:rsidR="005330BF" w:rsidRDefault="00136814">
            <w:pPr>
              <w:pStyle w:val="TableParagraph"/>
              <w:ind w:left="410"/>
              <w:rPr>
                <w:sz w:val="18"/>
              </w:rPr>
            </w:pPr>
            <w:r>
              <w:rPr>
                <w:sz w:val="18"/>
              </w:rPr>
              <w:t>45 (10.2%)</w:t>
            </w:r>
          </w:p>
        </w:tc>
      </w:tr>
    </w:tbl>
    <w:p w:rsidR="005330BF" w:rsidRDefault="005330BF">
      <w:pPr>
        <w:pStyle w:val="BodyText"/>
        <w:ind w:left="0"/>
      </w:pPr>
    </w:p>
    <w:p w:rsidR="005330BF" w:rsidRDefault="00136814">
      <w:pPr>
        <w:pStyle w:val="BodyText"/>
        <w:spacing w:before="172" w:line="276" w:lineRule="auto"/>
        <w:ind w:left="110" w:right="1225"/>
      </w:pPr>
      <w:r>
        <w:t xml:space="preserve">The data in </w:t>
      </w:r>
      <w:hyperlink w:anchor="_bookmark12" w:history="1">
        <w:r>
          <w:rPr>
            <w:b/>
            <w:color w:val="25408F"/>
          </w:rPr>
          <w:t xml:space="preserve">Table 2 </w:t>
        </w:r>
      </w:hyperlink>
      <w:r>
        <w:t>is unadjusted. When adjusted for age and sex, the differences between groups become more apparent.</w:t>
      </w:r>
    </w:p>
    <w:p w:rsidR="005330BF" w:rsidRDefault="00136814">
      <w:pPr>
        <w:pStyle w:val="BodyText"/>
        <w:spacing w:before="151" w:line="276" w:lineRule="auto"/>
        <w:ind w:left="110" w:right="1628"/>
      </w:pPr>
      <w:hyperlink w:anchor="_bookmark14" w:history="1">
        <w:r>
          <w:rPr>
            <w:b/>
            <w:color w:val="25408F"/>
          </w:rPr>
          <w:t xml:space="preserve">Figure 1 </w:t>
        </w:r>
      </w:hyperlink>
      <w:r>
        <w:t>presents the age and sex adjusted risk ratios for the DSP and NSA groups compared to wage earners for each of the self-rated health categories. Results show</w:t>
      </w:r>
      <w:r>
        <w:rPr>
          <w:spacing w:val="-30"/>
        </w:rPr>
        <w:t xml:space="preserve"> </w:t>
      </w:r>
      <w:r>
        <w:t>that:</w:t>
      </w:r>
    </w:p>
    <w:p w:rsidR="005330BF" w:rsidRDefault="00136814">
      <w:pPr>
        <w:pStyle w:val="ListParagraph"/>
        <w:numPr>
          <w:ilvl w:val="0"/>
          <w:numId w:val="2"/>
        </w:numPr>
        <w:tabs>
          <w:tab w:val="left" w:pos="470"/>
          <w:tab w:val="left" w:pos="471"/>
        </w:tabs>
        <w:spacing w:before="153" w:line="278" w:lineRule="auto"/>
        <w:ind w:right="1776"/>
      </w:pPr>
      <w:r>
        <w:t>DSP recipients are at 18.3 times the risk of assessing their own health as poor compared to wage earners and 4.1 times the risk of assessing their own health as</w:t>
      </w:r>
      <w:r>
        <w:rPr>
          <w:spacing w:val="-36"/>
        </w:rPr>
        <w:t xml:space="preserve"> </w:t>
      </w:r>
      <w:r>
        <w:rPr>
          <w:spacing w:val="-3"/>
        </w:rPr>
        <w:t>fair.</w:t>
      </w:r>
    </w:p>
    <w:p w:rsidR="005330BF" w:rsidRDefault="00136814">
      <w:pPr>
        <w:pStyle w:val="ListParagraph"/>
        <w:numPr>
          <w:ilvl w:val="0"/>
          <w:numId w:val="2"/>
        </w:numPr>
        <w:tabs>
          <w:tab w:val="left" w:pos="470"/>
          <w:tab w:val="left" w:pos="471"/>
        </w:tabs>
        <w:spacing w:line="278" w:lineRule="auto"/>
        <w:ind w:right="1630"/>
      </w:pPr>
      <w:r>
        <w:t>NSA</w:t>
      </w:r>
      <w:r>
        <w:rPr>
          <w:spacing w:val="-47"/>
        </w:rPr>
        <w:t xml:space="preserve"> </w:t>
      </w:r>
      <w:r>
        <w:t>recipients are at 6.8 times the risk of assessing their own health as poor compared t</w:t>
      </w:r>
      <w:r>
        <w:t>o wage earners and 3.1 times the risk of assessing their own health as</w:t>
      </w:r>
      <w:r>
        <w:rPr>
          <w:spacing w:val="-20"/>
        </w:rPr>
        <w:t xml:space="preserve"> </w:t>
      </w:r>
      <w:r>
        <w:rPr>
          <w:spacing w:val="-3"/>
        </w:rPr>
        <w:t>fair.</w:t>
      </w:r>
    </w:p>
    <w:p w:rsidR="005330BF" w:rsidRDefault="00136814">
      <w:pPr>
        <w:pStyle w:val="ListParagraph"/>
        <w:numPr>
          <w:ilvl w:val="0"/>
          <w:numId w:val="2"/>
        </w:numPr>
        <w:tabs>
          <w:tab w:val="left" w:pos="470"/>
          <w:tab w:val="left" w:pos="471"/>
        </w:tabs>
        <w:spacing w:before="1" w:line="278" w:lineRule="auto"/>
        <w:ind w:right="1685"/>
      </w:pPr>
      <w:r>
        <w:t>Both</w:t>
      </w:r>
      <w:r>
        <w:rPr>
          <w:spacing w:val="-3"/>
        </w:rPr>
        <w:t xml:space="preserve"> </w:t>
      </w:r>
      <w:r>
        <w:t>the</w:t>
      </w:r>
      <w:r>
        <w:rPr>
          <w:spacing w:val="-2"/>
        </w:rPr>
        <w:t xml:space="preserve"> </w:t>
      </w:r>
      <w:r>
        <w:t>DSP</w:t>
      </w:r>
      <w:r>
        <w:rPr>
          <w:spacing w:val="-6"/>
        </w:rPr>
        <w:t xml:space="preserve"> </w:t>
      </w:r>
      <w:r>
        <w:t>and</w:t>
      </w:r>
      <w:r>
        <w:rPr>
          <w:spacing w:val="-3"/>
        </w:rPr>
        <w:t xml:space="preserve"> </w:t>
      </w:r>
      <w:r>
        <w:t>NSA</w:t>
      </w:r>
      <w:r>
        <w:rPr>
          <w:spacing w:val="-14"/>
        </w:rPr>
        <w:t xml:space="preserve"> </w:t>
      </w:r>
      <w:r>
        <w:t>groups</w:t>
      </w:r>
      <w:r>
        <w:rPr>
          <w:spacing w:val="-3"/>
        </w:rPr>
        <w:t xml:space="preserve"> </w:t>
      </w:r>
      <w:r>
        <w:t>are</w:t>
      </w:r>
      <w:r>
        <w:rPr>
          <w:spacing w:val="-4"/>
        </w:rPr>
        <w:t xml:space="preserve"> </w:t>
      </w:r>
      <w:r>
        <w:t>significantly</w:t>
      </w:r>
      <w:r>
        <w:rPr>
          <w:spacing w:val="-2"/>
        </w:rPr>
        <w:t xml:space="preserve"> </w:t>
      </w:r>
      <w:r>
        <w:t>less</w:t>
      </w:r>
      <w:r>
        <w:rPr>
          <w:spacing w:val="-3"/>
        </w:rPr>
        <w:t xml:space="preserve"> </w:t>
      </w:r>
      <w:r>
        <w:t>likely</w:t>
      </w:r>
      <w:r>
        <w:rPr>
          <w:spacing w:val="-3"/>
        </w:rPr>
        <w:t xml:space="preserve"> </w:t>
      </w:r>
      <w:r>
        <w:t>to</w:t>
      </w:r>
      <w:r>
        <w:rPr>
          <w:spacing w:val="-3"/>
        </w:rPr>
        <w:t xml:space="preserve"> </w:t>
      </w:r>
      <w:r>
        <w:t>assess</w:t>
      </w:r>
      <w:r>
        <w:rPr>
          <w:spacing w:val="-3"/>
        </w:rPr>
        <w:t xml:space="preserve"> </w:t>
      </w:r>
      <w:r>
        <w:t>their</w:t>
      </w:r>
      <w:r>
        <w:rPr>
          <w:spacing w:val="-2"/>
        </w:rPr>
        <w:t xml:space="preserve"> </w:t>
      </w:r>
      <w:r>
        <w:t>own</w:t>
      </w:r>
      <w:r>
        <w:rPr>
          <w:spacing w:val="-3"/>
        </w:rPr>
        <w:t xml:space="preserve"> </w:t>
      </w:r>
      <w:r>
        <w:t>health</w:t>
      </w:r>
      <w:r>
        <w:rPr>
          <w:spacing w:val="-4"/>
        </w:rPr>
        <w:t xml:space="preserve"> </w:t>
      </w:r>
      <w:r>
        <w:t>as very good or excellent than the wage earners group, with these effects more pronounced in t</w:t>
      </w:r>
      <w:r>
        <w:t>he DSP</w:t>
      </w:r>
      <w:r>
        <w:rPr>
          <w:spacing w:val="-7"/>
        </w:rPr>
        <w:t xml:space="preserve"> </w:t>
      </w:r>
      <w:r>
        <w:t>group.</w:t>
      </w:r>
    </w:p>
    <w:p w:rsidR="005330BF" w:rsidRDefault="005330BF">
      <w:pPr>
        <w:spacing w:line="278" w:lineRule="auto"/>
        <w:sectPr w:rsidR="005330BF">
          <w:pgSz w:w="11910" w:h="16840"/>
          <w:pgMar w:top="1160" w:right="540" w:bottom="480" w:left="740" w:header="0" w:footer="290" w:gutter="0"/>
          <w:cols w:space="720"/>
        </w:sectPr>
      </w:pPr>
    </w:p>
    <w:p w:rsidR="005330BF" w:rsidRDefault="00136814">
      <w:pPr>
        <w:spacing w:before="38" w:after="14" w:line="268" w:lineRule="auto"/>
        <w:ind w:left="110" w:right="1628"/>
        <w:rPr>
          <w:b/>
          <w:sz w:val="18"/>
        </w:rPr>
      </w:pPr>
      <w:bookmarkStart w:id="28" w:name="_bookmark14"/>
      <w:bookmarkStart w:id="29" w:name="Health_Conditions"/>
      <w:bookmarkStart w:id="30" w:name="Figure_1._Age_and_sex_adjusted_risk_rati"/>
      <w:bookmarkStart w:id="31" w:name="_bookmark13"/>
      <w:bookmarkEnd w:id="28"/>
      <w:bookmarkEnd w:id="29"/>
      <w:bookmarkEnd w:id="30"/>
      <w:bookmarkEnd w:id="31"/>
      <w:r>
        <w:rPr>
          <w:b/>
          <w:color w:val="25408F"/>
          <w:sz w:val="18"/>
        </w:rPr>
        <w:t>Figure 1. Age and sex adjusted risk ratios for DSP and NSA recipients rating their health in each category compared with wage earners</w:t>
      </w:r>
    </w:p>
    <w:p w:rsidR="005330BF" w:rsidRDefault="00136814">
      <w:pPr>
        <w:pStyle w:val="BodyText"/>
        <w:ind w:left="110"/>
        <w:rPr>
          <w:sz w:val="20"/>
        </w:rPr>
      </w:pPr>
      <w:r>
        <w:rPr>
          <w:noProof/>
          <w:sz w:val="20"/>
        </w:rPr>
        <w:drawing>
          <wp:inline distT="0" distB="0" distL="0" distR="0">
            <wp:extent cx="5254434" cy="378418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254434" cy="3784187"/>
                    </a:xfrm>
                    <a:prstGeom prst="rect">
                      <a:avLst/>
                    </a:prstGeom>
                  </pic:spPr>
                </pic:pic>
              </a:graphicData>
            </a:graphic>
          </wp:inline>
        </w:drawing>
      </w:r>
    </w:p>
    <w:p w:rsidR="005330BF" w:rsidRDefault="005330BF">
      <w:pPr>
        <w:pStyle w:val="BodyText"/>
        <w:ind w:left="0"/>
        <w:rPr>
          <w:b/>
          <w:sz w:val="18"/>
        </w:rPr>
      </w:pPr>
    </w:p>
    <w:p w:rsidR="005330BF" w:rsidRDefault="005330BF">
      <w:pPr>
        <w:pStyle w:val="BodyText"/>
        <w:spacing w:before="9"/>
        <w:ind w:left="0"/>
        <w:rPr>
          <w:b/>
          <w:sz w:val="15"/>
        </w:rPr>
      </w:pPr>
    </w:p>
    <w:p w:rsidR="005330BF" w:rsidRDefault="00136814">
      <w:pPr>
        <w:pStyle w:val="Heading2"/>
        <w:spacing w:before="0"/>
        <w:ind w:left="110"/>
      </w:pPr>
      <w:r>
        <w:rPr>
          <w:color w:val="3B4D96"/>
        </w:rPr>
        <w:t>HEALTH CONDITIONS</w:t>
      </w:r>
    </w:p>
    <w:p w:rsidR="005330BF" w:rsidRDefault="00136814">
      <w:pPr>
        <w:pStyle w:val="Heading3"/>
        <w:spacing w:before="183"/>
        <w:ind w:left="110"/>
      </w:pPr>
      <w:r>
        <w:rPr>
          <w:color w:val="58595B"/>
        </w:rPr>
        <w:t>Disease &amp; Condition Categories</w:t>
      </w:r>
    </w:p>
    <w:p w:rsidR="005330BF" w:rsidRDefault="00136814">
      <w:pPr>
        <w:pStyle w:val="BodyText"/>
        <w:spacing w:before="190" w:line="278" w:lineRule="auto"/>
        <w:ind w:left="110" w:right="2272"/>
        <w:jc w:val="both"/>
      </w:pPr>
      <w:r>
        <w:t>The ICD-10 is an international standard classification system for diseases and health problems that categorises specific diseases and conditions into 16 major categories. The number and proportion of each group with at least one condition in each ICD-10 ca</w:t>
      </w:r>
      <w:r>
        <w:t xml:space="preserve">tegory is shown in </w:t>
      </w:r>
      <w:hyperlink w:anchor="_bookmark16" w:history="1">
        <w:r>
          <w:rPr>
            <w:b/>
            <w:color w:val="25408F"/>
          </w:rPr>
          <w:t>Table 3</w:t>
        </w:r>
      </w:hyperlink>
      <w:r>
        <w:t>. Results include that:</w:t>
      </w:r>
    </w:p>
    <w:p w:rsidR="005330BF" w:rsidRDefault="00136814">
      <w:pPr>
        <w:pStyle w:val="ListParagraph"/>
        <w:numPr>
          <w:ilvl w:val="0"/>
          <w:numId w:val="2"/>
        </w:numPr>
        <w:tabs>
          <w:tab w:val="left" w:pos="470"/>
          <w:tab w:val="left" w:pos="471"/>
        </w:tabs>
        <w:spacing w:before="146" w:line="278" w:lineRule="auto"/>
        <w:ind w:right="2161"/>
      </w:pPr>
      <w:r>
        <w:t>DSP</w:t>
      </w:r>
      <w:r>
        <w:rPr>
          <w:spacing w:val="-7"/>
        </w:rPr>
        <w:t xml:space="preserve"> </w:t>
      </w:r>
      <w:r>
        <w:t>recipients</w:t>
      </w:r>
      <w:r>
        <w:rPr>
          <w:spacing w:val="-4"/>
        </w:rPr>
        <w:t xml:space="preserve"> </w:t>
      </w:r>
      <w:r>
        <w:t>had</w:t>
      </w:r>
      <w:r>
        <w:rPr>
          <w:spacing w:val="-4"/>
        </w:rPr>
        <w:t xml:space="preserve"> </w:t>
      </w:r>
      <w:r>
        <w:t>the</w:t>
      </w:r>
      <w:r>
        <w:rPr>
          <w:spacing w:val="-3"/>
        </w:rPr>
        <w:t xml:space="preserve"> </w:t>
      </w:r>
      <w:r>
        <w:t>highest</w:t>
      </w:r>
      <w:r>
        <w:rPr>
          <w:spacing w:val="-4"/>
        </w:rPr>
        <w:t xml:space="preserve"> </w:t>
      </w:r>
      <w:r>
        <w:t>proportion</w:t>
      </w:r>
      <w:r>
        <w:rPr>
          <w:spacing w:val="-4"/>
        </w:rPr>
        <w:t xml:space="preserve"> </w:t>
      </w:r>
      <w:r>
        <w:t>of</w:t>
      </w:r>
      <w:r>
        <w:rPr>
          <w:spacing w:val="-4"/>
        </w:rPr>
        <w:t xml:space="preserve"> </w:t>
      </w:r>
      <w:r>
        <w:t>individuals</w:t>
      </w:r>
      <w:r>
        <w:rPr>
          <w:spacing w:val="-4"/>
        </w:rPr>
        <w:t xml:space="preserve"> </w:t>
      </w:r>
      <w:r>
        <w:t>with</w:t>
      </w:r>
      <w:r>
        <w:rPr>
          <w:spacing w:val="-4"/>
        </w:rPr>
        <w:t xml:space="preserve"> </w:t>
      </w:r>
      <w:r>
        <w:t>at</w:t>
      </w:r>
      <w:r>
        <w:rPr>
          <w:spacing w:val="-4"/>
        </w:rPr>
        <w:t xml:space="preserve"> </w:t>
      </w:r>
      <w:r>
        <w:t>least</w:t>
      </w:r>
      <w:r>
        <w:rPr>
          <w:spacing w:val="-5"/>
        </w:rPr>
        <w:t xml:space="preserve"> </w:t>
      </w:r>
      <w:r>
        <w:t>one</w:t>
      </w:r>
      <w:r>
        <w:rPr>
          <w:spacing w:val="-4"/>
        </w:rPr>
        <w:t xml:space="preserve"> </w:t>
      </w:r>
      <w:r>
        <w:t>condition across all 16 ICD-10</w:t>
      </w:r>
      <w:r>
        <w:rPr>
          <w:spacing w:val="-4"/>
        </w:rPr>
        <w:t xml:space="preserve"> </w:t>
      </w:r>
      <w:r>
        <w:t>categories.</w:t>
      </w:r>
    </w:p>
    <w:p w:rsidR="005330BF" w:rsidRDefault="00136814">
      <w:pPr>
        <w:pStyle w:val="ListParagraph"/>
        <w:numPr>
          <w:ilvl w:val="0"/>
          <w:numId w:val="2"/>
        </w:numPr>
        <w:tabs>
          <w:tab w:val="left" w:pos="470"/>
          <w:tab w:val="left" w:pos="471"/>
        </w:tabs>
        <w:spacing w:before="1" w:line="278" w:lineRule="auto"/>
        <w:ind w:right="2870"/>
      </w:pPr>
      <w:r>
        <w:t>Nearly three quarters (71.3%) of DSP recipients and almost half (48.2%) of NSA recipients reported having diseases of the musculoskeletal</w:t>
      </w:r>
      <w:r>
        <w:rPr>
          <w:spacing w:val="-25"/>
        </w:rPr>
        <w:t xml:space="preserve"> </w:t>
      </w:r>
      <w:r>
        <w:t>system.</w:t>
      </w:r>
    </w:p>
    <w:p w:rsidR="005330BF" w:rsidRDefault="00136814">
      <w:pPr>
        <w:pStyle w:val="ListParagraph"/>
        <w:numPr>
          <w:ilvl w:val="0"/>
          <w:numId w:val="2"/>
        </w:numPr>
        <w:tabs>
          <w:tab w:val="left" w:pos="470"/>
          <w:tab w:val="left" w:pos="471"/>
        </w:tabs>
        <w:spacing w:line="278" w:lineRule="auto"/>
        <w:ind w:right="2991"/>
      </w:pPr>
      <w:r>
        <w:t>More than two thirds (69.1%) of DSP recipients and nearly half (48.6%) of NSA recipients reported having menta</w:t>
      </w:r>
      <w:r>
        <w:t>l and behavioural</w:t>
      </w:r>
      <w:r>
        <w:rPr>
          <w:spacing w:val="-25"/>
        </w:rPr>
        <w:t xml:space="preserve"> </w:t>
      </w:r>
      <w:r>
        <w:t>problems.</w:t>
      </w:r>
    </w:p>
    <w:p w:rsidR="005330BF" w:rsidRDefault="00136814">
      <w:pPr>
        <w:pStyle w:val="ListParagraph"/>
        <w:numPr>
          <w:ilvl w:val="0"/>
          <w:numId w:val="2"/>
        </w:numPr>
        <w:tabs>
          <w:tab w:val="left" w:pos="470"/>
          <w:tab w:val="left" w:pos="471"/>
        </w:tabs>
      </w:pPr>
      <w:r>
        <w:t>More than half (51.9%) of DSP recipients reported having circulatory system</w:t>
      </w:r>
      <w:r>
        <w:rPr>
          <w:spacing w:val="-13"/>
        </w:rPr>
        <w:t xml:space="preserve"> </w:t>
      </w:r>
      <w:r>
        <w:t>diseases.</w:t>
      </w:r>
    </w:p>
    <w:p w:rsidR="005330BF" w:rsidRDefault="00136814">
      <w:pPr>
        <w:pStyle w:val="ListParagraph"/>
        <w:numPr>
          <w:ilvl w:val="0"/>
          <w:numId w:val="2"/>
        </w:numPr>
        <w:tabs>
          <w:tab w:val="left" w:pos="470"/>
          <w:tab w:val="left" w:pos="471"/>
        </w:tabs>
        <w:spacing w:before="41" w:line="278" w:lineRule="auto"/>
        <w:ind w:right="2058"/>
      </w:pPr>
      <w:r>
        <w:t>Diseases of the eye and adnexa were the most commonly reported conditions in all groups of</w:t>
      </w:r>
      <w:r>
        <w:rPr>
          <w:spacing w:val="-3"/>
        </w:rPr>
        <w:t xml:space="preserve"> </w:t>
      </w:r>
      <w:r>
        <w:t>participants.</w:t>
      </w:r>
    </w:p>
    <w:p w:rsidR="005330BF" w:rsidRDefault="005330BF">
      <w:pPr>
        <w:spacing w:line="278" w:lineRule="auto"/>
        <w:sectPr w:rsidR="005330BF">
          <w:pgSz w:w="11910" w:h="16840"/>
          <w:pgMar w:top="1040" w:right="540" w:bottom="560" w:left="740" w:header="0" w:footer="29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094"/>
        <w:gridCol w:w="1653"/>
        <w:gridCol w:w="1462"/>
        <w:gridCol w:w="1693"/>
      </w:tblGrid>
      <w:tr w:rsidR="005330BF">
        <w:trPr>
          <w:trHeight w:val="583"/>
        </w:trPr>
        <w:tc>
          <w:tcPr>
            <w:tcW w:w="8902" w:type="dxa"/>
            <w:gridSpan w:val="4"/>
            <w:tcBorders>
              <w:bottom w:val="single" w:sz="4" w:space="0" w:color="000000"/>
            </w:tcBorders>
          </w:tcPr>
          <w:p w:rsidR="005330BF" w:rsidRDefault="00136814">
            <w:pPr>
              <w:pStyle w:val="TableParagraph"/>
              <w:spacing w:before="0" w:line="180" w:lineRule="exact"/>
              <w:rPr>
                <w:b/>
                <w:sz w:val="18"/>
              </w:rPr>
            </w:pPr>
            <w:bookmarkStart w:id="32" w:name="Table_3._Number_and_percentage_of_survey"/>
            <w:bookmarkStart w:id="33" w:name="_bookmark15"/>
            <w:bookmarkEnd w:id="32"/>
            <w:bookmarkEnd w:id="33"/>
            <w:r>
              <w:rPr>
                <w:b/>
                <w:color w:val="25408F"/>
                <w:sz w:val="18"/>
              </w:rPr>
              <w:t>TABLE 3. NUMBER AND</w:t>
            </w:r>
            <w:r>
              <w:rPr>
                <w:b/>
                <w:color w:val="25408F"/>
                <w:sz w:val="18"/>
              </w:rPr>
              <w:t xml:space="preserve"> PERCENTAGE OF SURVEY RESPONDENTS WITH AT LEAST ONE</w:t>
            </w:r>
          </w:p>
          <w:p w:rsidR="005330BF" w:rsidRDefault="00136814">
            <w:pPr>
              <w:pStyle w:val="TableParagraph"/>
              <w:spacing w:before="65"/>
              <w:rPr>
                <w:b/>
                <w:sz w:val="18"/>
              </w:rPr>
            </w:pPr>
            <w:r>
              <w:rPr>
                <w:b/>
                <w:color w:val="25408F"/>
                <w:sz w:val="18"/>
              </w:rPr>
              <w:t>CONDITION IN EACH ICD-10 CATEGORY, BY STUDY GROUP</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ICD-10 Disease Category</w:t>
            </w:r>
          </w:p>
        </w:tc>
        <w:tc>
          <w:tcPr>
            <w:tcW w:w="1653" w:type="dxa"/>
            <w:tcBorders>
              <w:top w:val="single" w:sz="4" w:space="0" w:color="000000"/>
              <w:bottom w:val="single" w:sz="4" w:space="0" w:color="000000"/>
            </w:tcBorders>
          </w:tcPr>
          <w:p w:rsidR="005330BF" w:rsidRDefault="00136814">
            <w:pPr>
              <w:pStyle w:val="TableParagraph"/>
              <w:spacing w:before="127"/>
              <w:ind w:left="271"/>
              <w:rPr>
                <w:b/>
                <w:sz w:val="18"/>
              </w:rPr>
            </w:pPr>
            <w:r>
              <w:rPr>
                <w:b/>
                <w:color w:val="25408F"/>
                <w:sz w:val="18"/>
              </w:rPr>
              <w:t>Wage Earners</w:t>
            </w:r>
          </w:p>
        </w:tc>
        <w:tc>
          <w:tcPr>
            <w:tcW w:w="1462" w:type="dxa"/>
            <w:tcBorders>
              <w:top w:val="single" w:sz="4" w:space="0" w:color="000000"/>
              <w:bottom w:val="single" w:sz="4" w:space="0" w:color="000000"/>
            </w:tcBorders>
          </w:tcPr>
          <w:p w:rsidR="005330BF" w:rsidRDefault="00136814">
            <w:pPr>
              <w:pStyle w:val="TableParagraph"/>
              <w:spacing w:before="127"/>
              <w:ind w:left="186"/>
              <w:rPr>
                <w:b/>
                <w:sz w:val="18"/>
              </w:rPr>
            </w:pPr>
            <w:r>
              <w:rPr>
                <w:b/>
                <w:color w:val="25408F"/>
                <w:sz w:val="18"/>
              </w:rPr>
              <w:t>DSP Group</w:t>
            </w:r>
          </w:p>
        </w:tc>
        <w:tc>
          <w:tcPr>
            <w:tcW w:w="1693" w:type="dxa"/>
            <w:tcBorders>
              <w:top w:val="single" w:sz="4" w:space="0" w:color="000000"/>
              <w:bottom w:val="single" w:sz="4" w:space="0" w:color="000000"/>
            </w:tcBorders>
          </w:tcPr>
          <w:p w:rsidR="005330BF" w:rsidRDefault="00136814">
            <w:pPr>
              <w:pStyle w:val="TableParagraph"/>
              <w:spacing w:before="127"/>
              <w:ind w:left="293"/>
              <w:rPr>
                <w:b/>
                <w:sz w:val="18"/>
              </w:rPr>
            </w:pPr>
            <w:r>
              <w:rPr>
                <w:b/>
                <w:color w:val="25408F"/>
                <w:sz w:val="18"/>
              </w:rPr>
              <w:t>NSA Group</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eye and adnexa</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5307 (62.9%)</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525 (82.3%)</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301 (68.1%)</w:t>
            </w:r>
          </w:p>
        </w:tc>
      </w:tr>
      <w:tr w:rsidR="005330BF">
        <w:trPr>
          <w:trHeight w:val="745"/>
        </w:trPr>
        <w:tc>
          <w:tcPr>
            <w:tcW w:w="4094" w:type="dxa"/>
            <w:tcBorders>
              <w:top w:val="single" w:sz="4" w:space="0" w:color="000000"/>
              <w:bottom w:val="single" w:sz="4" w:space="0" w:color="000000"/>
            </w:tcBorders>
          </w:tcPr>
          <w:p w:rsidR="005330BF" w:rsidRDefault="00136814">
            <w:pPr>
              <w:pStyle w:val="TableParagraph"/>
              <w:spacing w:line="316" w:lineRule="auto"/>
              <w:ind w:right="362"/>
              <w:rPr>
                <w:sz w:val="18"/>
              </w:rPr>
            </w:pPr>
            <w:r>
              <w:rPr>
                <w:sz w:val="18"/>
              </w:rPr>
              <w:t>Diseases of the musculoskeletal system and connective tissue</w:t>
            </w:r>
          </w:p>
        </w:tc>
        <w:tc>
          <w:tcPr>
            <w:tcW w:w="1653"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271"/>
              <w:rPr>
                <w:sz w:val="18"/>
              </w:rPr>
            </w:pPr>
            <w:r>
              <w:rPr>
                <w:sz w:val="18"/>
              </w:rPr>
              <w:t>2942 (34.9%)</w:t>
            </w:r>
          </w:p>
        </w:tc>
        <w:tc>
          <w:tcPr>
            <w:tcW w:w="1462"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186"/>
              <w:rPr>
                <w:sz w:val="18"/>
              </w:rPr>
            </w:pPr>
            <w:r>
              <w:rPr>
                <w:sz w:val="18"/>
              </w:rPr>
              <w:t>455 (71.3%)</w:t>
            </w:r>
          </w:p>
        </w:tc>
        <w:tc>
          <w:tcPr>
            <w:tcW w:w="1693"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293"/>
              <w:rPr>
                <w:sz w:val="18"/>
              </w:rPr>
            </w:pPr>
            <w:r>
              <w:rPr>
                <w:sz w:val="18"/>
              </w:rPr>
              <w:t>213 (48.2%)</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Mental and behavioural problems</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1772 (21.0%)</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441 (69.1%)</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215 (48.6%)</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circulatory system</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2202 (26.1%)</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331 (51.9%)</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162 (36.7%)</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respiratory system</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3376 (40.0%)</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329 (51.6%)</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186 (42.1%)</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Endocrine, nutritional and metabolic diseases</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1629 (19.3%)</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265 (41.5%)</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117 (26.5%)</w:t>
            </w:r>
          </w:p>
        </w:tc>
      </w:tr>
      <w:tr w:rsidR="005330BF">
        <w:trPr>
          <w:trHeight w:val="745"/>
        </w:trPr>
        <w:tc>
          <w:tcPr>
            <w:tcW w:w="4094" w:type="dxa"/>
            <w:tcBorders>
              <w:top w:val="single" w:sz="4" w:space="0" w:color="000000"/>
              <w:bottom w:val="single" w:sz="4" w:space="0" w:color="000000"/>
            </w:tcBorders>
          </w:tcPr>
          <w:p w:rsidR="005330BF" w:rsidRDefault="00136814">
            <w:pPr>
              <w:pStyle w:val="TableParagraph"/>
              <w:spacing w:line="316" w:lineRule="auto"/>
              <w:ind w:right="1022"/>
              <w:rPr>
                <w:sz w:val="18"/>
              </w:rPr>
            </w:pPr>
            <w:r>
              <w:rPr>
                <w:sz w:val="18"/>
              </w:rPr>
              <w:t>Symptoms, signs and conditions not elsewhere classified</w:t>
            </w:r>
          </w:p>
        </w:tc>
        <w:tc>
          <w:tcPr>
            <w:tcW w:w="1653"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271"/>
              <w:rPr>
                <w:sz w:val="18"/>
              </w:rPr>
            </w:pPr>
            <w:r>
              <w:rPr>
                <w:sz w:val="18"/>
              </w:rPr>
              <w:t>1356 (16.1%)</w:t>
            </w:r>
          </w:p>
        </w:tc>
        <w:tc>
          <w:tcPr>
            <w:tcW w:w="1462"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186"/>
              <w:rPr>
                <w:sz w:val="18"/>
              </w:rPr>
            </w:pPr>
            <w:r>
              <w:rPr>
                <w:sz w:val="18"/>
              </w:rPr>
              <w:t>209 (32.8%)</w:t>
            </w:r>
          </w:p>
        </w:tc>
        <w:tc>
          <w:tcPr>
            <w:tcW w:w="1693"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293"/>
              <w:rPr>
                <w:sz w:val="18"/>
              </w:rPr>
            </w:pPr>
            <w:r>
              <w:rPr>
                <w:sz w:val="18"/>
              </w:rPr>
              <w:t>85 (19.2%)</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ear and mastoid</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1043 (12.4%)</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174 (27.3%)</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86 (19.5%)</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nervous system</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767 (9.1%)</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146 (22.9%)</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62 (14.0%)</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the digestive system</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500 (5.9%)</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109 (17.1%)</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52 (11.8%)</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Neoplasms</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725 (8.6%)</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95 (14.9%)</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34 (7.7%)</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genito-urinary system</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286 (3.4%)</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65 (10.2%)</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26 (5.9%)</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the skin and subcutaneous tissue</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416 (4.9%)</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48 (7.5%)</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22 (5.0%)</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Diseases of blood and blood forming organs</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178 (2.1%)</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29 (4.5%)</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9 (2.0%)</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Certain infectious and parasitic diseases</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57 (0.7%)</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14 (2.2%)</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2 (0.5%)</w:t>
            </w:r>
          </w:p>
        </w:tc>
      </w:tr>
      <w:tr w:rsidR="005330BF">
        <w:trPr>
          <w:trHeight w:val="745"/>
        </w:trPr>
        <w:tc>
          <w:tcPr>
            <w:tcW w:w="4094" w:type="dxa"/>
            <w:tcBorders>
              <w:top w:val="single" w:sz="4" w:space="0" w:color="000000"/>
              <w:bottom w:val="single" w:sz="4" w:space="0" w:color="000000"/>
            </w:tcBorders>
          </w:tcPr>
          <w:p w:rsidR="005330BF" w:rsidRDefault="00136814">
            <w:pPr>
              <w:pStyle w:val="TableParagraph"/>
              <w:spacing w:line="316" w:lineRule="auto"/>
              <w:ind w:right="372"/>
              <w:rPr>
                <w:sz w:val="18"/>
              </w:rPr>
            </w:pPr>
            <w:r>
              <w:rPr>
                <w:sz w:val="18"/>
              </w:rPr>
              <w:t>Congenital malformations, deformations and chromosomal abnormalities</w:t>
            </w:r>
          </w:p>
        </w:tc>
        <w:tc>
          <w:tcPr>
            <w:tcW w:w="1653"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271"/>
              <w:rPr>
                <w:sz w:val="18"/>
              </w:rPr>
            </w:pPr>
            <w:r>
              <w:rPr>
                <w:sz w:val="18"/>
              </w:rPr>
              <w:t>39 (0.5%)</w:t>
            </w:r>
          </w:p>
        </w:tc>
        <w:tc>
          <w:tcPr>
            <w:tcW w:w="1462"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186"/>
              <w:rPr>
                <w:sz w:val="18"/>
              </w:rPr>
            </w:pPr>
            <w:r>
              <w:rPr>
                <w:sz w:val="18"/>
              </w:rPr>
              <w:t>9 (1.4%)</w:t>
            </w:r>
          </w:p>
        </w:tc>
        <w:tc>
          <w:tcPr>
            <w:tcW w:w="1693" w:type="dxa"/>
            <w:tcBorders>
              <w:top w:val="single" w:sz="4" w:space="0" w:color="000000"/>
              <w:bottom w:val="single" w:sz="4" w:space="0" w:color="000000"/>
            </w:tcBorders>
          </w:tcPr>
          <w:p w:rsidR="005330BF" w:rsidRDefault="005330BF">
            <w:pPr>
              <w:pStyle w:val="TableParagraph"/>
              <w:spacing w:before="10"/>
              <w:ind w:left="0"/>
            </w:pPr>
          </w:p>
          <w:p w:rsidR="005330BF" w:rsidRDefault="00136814">
            <w:pPr>
              <w:pStyle w:val="TableParagraph"/>
              <w:spacing w:before="0"/>
              <w:ind w:left="293"/>
              <w:rPr>
                <w:sz w:val="18"/>
              </w:rPr>
            </w:pPr>
            <w:r>
              <w:rPr>
                <w:sz w:val="18"/>
              </w:rPr>
              <w:t>3 (0.7%)</w:t>
            </w:r>
          </w:p>
        </w:tc>
      </w:tr>
      <w:tr w:rsidR="005330BF">
        <w:trPr>
          <w:trHeight w:val="465"/>
        </w:trPr>
        <w:tc>
          <w:tcPr>
            <w:tcW w:w="4094" w:type="dxa"/>
            <w:tcBorders>
              <w:top w:val="single" w:sz="4" w:space="0" w:color="000000"/>
              <w:bottom w:val="single" w:sz="4" w:space="0" w:color="000000"/>
            </w:tcBorders>
          </w:tcPr>
          <w:p w:rsidR="005330BF" w:rsidRDefault="00136814">
            <w:pPr>
              <w:pStyle w:val="TableParagraph"/>
              <w:rPr>
                <w:sz w:val="18"/>
              </w:rPr>
            </w:pPr>
            <w:r>
              <w:rPr>
                <w:sz w:val="18"/>
              </w:rPr>
              <w:t>No condition</w:t>
            </w:r>
          </w:p>
        </w:tc>
        <w:tc>
          <w:tcPr>
            <w:tcW w:w="1653" w:type="dxa"/>
            <w:tcBorders>
              <w:top w:val="single" w:sz="4" w:space="0" w:color="000000"/>
              <w:bottom w:val="single" w:sz="4" w:space="0" w:color="000000"/>
            </w:tcBorders>
          </w:tcPr>
          <w:p w:rsidR="005330BF" w:rsidRDefault="00136814">
            <w:pPr>
              <w:pStyle w:val="TableParagraph"/>
              <w:ind w:left="271"/>
              <w:rPr>
                <w:sz w:val="18"/>
              </w:rPr>
            </w:pPr>
            <w:r>
              <w:rPr>
                <w:sz w:val="18"/>
              </w:rPr>
              <w:t>802 (9.5%)</w:t>
            </w:r>
          </w:p>
        </w:tc>
        <w:tc>
          <w:tcPr>
            <w:tcW w:w="1462" w:type="dxa"/>
            <w:tcBorders>
              <w:top w:val="single" w:sz="4" w:space="0" w:color="000000"/>
              <w:bottom w:val="single" w:sz="4" w:space="0" w:color="000000"/>
            </w:tcBorders>
          </w:tcPr>
          <w:p w:rsidR="005330BF" w:rsidRDefault="00136814">
            <w:pPr>
              <w:pStyle w:val="TableParagraph"/>
              <w:ind w:left="186"/>
              <w:rPr>
                <w:sz w:val="18"/>
              </w:rPr>
            </w:pPr>
            <w:r>
              <w:rPr>
                <w:sz w:val="18"/>
              </w:rPr>
              <w:t>3 (0.5%)</w:t>
            </w:r>
          </w:p>
        </w:tc>
        <w:tc>
          <w:tcPr>
            <w:tcW w:w="1693" w:type="dxa"/>
            <w:tcBorders>
              <w:top w:val="single" w:sz="4" w:space="0" w:color="000000"/>
              <w:bottom w:val="single" w:sz="4" w:space="0" w:color="000000"/>
            </w:tcBorders>
          </w:tcPr>
          <w:p w:rsidR="005330BF" w:rsidRDefault="00136814">
            <w:pPr>
              <w:pStyle w:val="TableParagraph"/>
              <w:ind w:left="293"/>
              <w:rPr>
                <w:sz w:val="18"/>
              </w:rPr>
            </w:pPr>
            <w:r>
              <w:rPr>
                <w:sz w:val="18"/>
              </w:rPr>
              <w:t>23 (5.2%)</w:t>
            </w:r>
          </w:p>
        </w:tc>
      </w:tr>
    </w:tbl>
    <w:p w:rsidR="005330BF" w:rsidRDefault="005330BF">
      <w:pPr>
        <w:pStyle w:val="BodyText"/>
        <w:ind w:left="0"/>
      </w:pPr>
      <w:bookmarkStart w:id="34" w:name="_bookmark16"/>
      <w:bookmarkEnd w:id="34"/>
    </w:p>
    <w:p w:rsidR="005330BF" w:rsidRDefault="005330BF">
      <w:pPr>
        <w:sectPr w:rsidR="005330BF">
          <w:pgSz w:w="11910" w:h="16840"/>
          <w:pgMar w:top="1280" w:right="540" w:bottom="480" w:left="740" w:header="0" w:footer="290" w:gutter="0"/>
          <w:cols w:space="720"/>
        </w:sectPr>
      </w:pPr>
    </w:p>
    <w:p w:rsidR="005330BF" w:rsidRDefault="00136814">
      <w:pPr>
        <w:pStyle w:val="BodyText"/>
        <w:spacing w:before="45" w:line="276" w:lineRule="auto"/>
        <w:ind w:left="110" w:right="1225"/>
      </w:pPr>
      <w:bookmarkStart w:id="35" w:name="_bookmark18"/>
      <w:bookmarkStart w:id="36" w:name="Figure_2._Age_and_sex_adjusted_risk_rati"/>
      <w:bookmarkStart w:id="37" w:name="_bookmark17"/>
      <w:bookmarkEnd w:id="35"/>
      <w:bookmarkEnd w:id="36"/>
      <w:bookmarkEnd w:id="37"/>
      <w:r>
        <w:t xml:space="preserve">The data in </w:t>
      </w:r>
      <w:hyperlink w:anchor="_bookmark16" w:history="1">
        <w:r>
          <w:rPr>
            <w:b/>
            <w:color w:val="25408F"/>
          </w:rPr>
          <w:t xml:space="preserve">Table </w:t>
        </w:r>
      </w:hyperlink>
      <w:r>
        <w:rPr>
          <w:b/>
          <w:color w:val="25408F"/>
        </w:rPr>
        <w:t xml:space="preserve">3 </w:t>
      </w:r>
      <w:r>
        <w:t>is unadjusted. When adjusted for age and sex, the differences between groups in the rate of different conditions becomes more apparent.</w:t>
      </w:r>
    </w:p>
    <w:p w:rsidR="005330BF" w:rsidRDefault="00136814">
      <w:pPr>
        <w:pStyle w:val="BodyText"/>
        <w:spacing w:before="151" w:line="276" w:lineRule="auto"/>
        <w:ind w:left="110" w:right="2111"/>
      </w:pPr>
      <w:hyperlink w:anchor="_bookmark18" w:history="1">
        <w:r>
          <w:rPr>
            <w:b/>
            <w:color w:val="25408F"/>
          </w:rPr>
          <w:t xml:space="preserve">Figure 2 </w:t>
        </w:r>
      </w:hyperlink>
      <w:r>
        <w:t>presents age and sex adjusted risk ratios f</w:t>
      </w:r>
      <w:r>
        <w:t>or the DSP group compared to the wage earners group.</w:t>
      </w:r>
    </w:p>
    <w:p w:rsidR="005330BF" w:rsidRDefault="00136814">
      <w:pPr>
        <w:pStyle w:val="BodyText"/>
        <w:spacing w:before="153"/>
        <w:ind w:left="110"/>
      </w:pPr>
      <w:r>
        <w:t>These results indicate that:</w:t>
      </w:r>
    </w:p>
    <w:p w:rsidR="005330BF" w:rsidRDefault="00136814">
      <w:pPr>
        <w:pStyle w:val="ListParagraph"/>
        <w:numPr>
          <w:ilvl w:val="0"/>
          <w:numId w:val="2"/>
        </w:numPr>
        <w:tabs>
          <w:tab w:val="left" w:pos="470"/>
          <w:tab w:val="left" w:pos="471"/>
        </w:tabs>
        <w:spacing w:before="191"/>
      </w:pPr>
      <w:r>
        <w:t>DSP recipients had significantly higher risk of reporting health conditions</w:t>
      </w:r>
      <w:r>
        <w:rPr>
          <w:spacing w:val="-11"/>
        </w:rPr>
        <w:t xml:space="preserve"> </w:t>
      </w:r>
      <w:r>
        <w:t>than</w:t>
      </w:r>
    </w:p>
    <w:p w:rsidR="005330BF" w:rsidRDefault="00136814">
      <w:pPr>
        <w:pStyle w:val="BodyText"/>
        <w:spacing w:before="42" w:line="278" w:lineRule="auto"/>
        <w:ind w:left="470" w:right="1897"/>
      </w:pPr>
      <w:r>
        <w:t>the wage earners group in all ICD-10 categories except diseases of eye and adnexa, and neopla</w:t>
      </w:r>
      <w:r>
        <w:t>sms.</w:t>
      </w:r>
    </w:p>
    <w:p w:rsidR="005330BF" w:rsidRDefault="00136814">
      <w:pPr>
        <w:pStyle w:val="ListParagraph"/>
        <w:numPr>
          <w:ilvl w:val="0"/>
          <w:numId w:val="2"/>
        </w:numPr>
        <w:tabs>
          <w:tab w:val="left" w:pos="470"/>
          <w:tab w:val="left" w:pos="471"/>
        </w:tabs>
        <w:spacing w:line="278" w:lineRule="auto"/>
        <w:ind w:right="2305"/>
      </w:pPr>
      <w:r>
        <w:t>DSP recipients had three to four times the relative risk of mental and behavioural problems, infectious diseases and congenital conditions than wage</w:t>
      </w:r>
      <w:r>
        <w:rPr>
          <w:spacing w:val="-23"/>
        </w:rPr>
        <w:t xml:space="preserve"> </w:t>
      </w:r>
      <w:r>
        <w:t>earners.</w:t>
      </w:r>
    </w:p>
    <w:p w:rsidR="005330BF" w:rsidRDefault="00136814">
      <w:pPr>
        <w:pStyle w:val="ListParagraph"/>
        <w:numPr>
          <w:ilvl w:val="0"/>
          <w:numId w:val="2"/>
        </w:numPr>
        <w:tabs>
          <w:tab w:val="left" w:pos="470"/>
          <w:tab w:val="left" w:pos="471"/>
        </w:tabs>
        <w:spacing w:line="278" w:lineRule="auto"/>
        <w:ind w:right="2098"/>
      </w:pPr>
      <w:r>
        <w:t>DSP recipients had two to three times the relative risk of nervous system, digestive system, genito-urinary system and blood diseases than wage</w:t>
      </w:r>
      <w:r>
        <w:rPr>
          <w:spacing w:val="-16"/>
        </w:rPr>
        <w:t xml:space="preserve"> </w:t>
      </w:r>
      <w:r>
        <w:t>earners.</w:t>
      </w:r>
    </w:p>
    <w:p w:rsidR="005330BF" w:rsidRDefault="005330BF">
      <w:pPr>
        <w:pStyle w:val="BodyText"/>
        <w:spacing w:before="8"/>
        <w:ind w:left="0"/>
        <w:rPr>
          <w:sz w:val="20"/>
        </w:rPr>
      </w:pPr>
    </w:p>
    <w:p w:rsidR="005330BF" w:rsidRDefault="00136814">
      <w:pPr>
        <w:spacing w:before="66" w:line="268" w:lineRule="auto"/>
        <w:ind w:left="110" w:right="1900"/>
        <w:rPr>
          <w:b/>
          <w:sz w:val="18"/>
        </w:rPr>
      </w:pPr>
      <w:r>
        <w:rPr>
          <w:b/>
          <w:color w:val="25408F"/>
          <w:sz w:val="18"/>
        </w:rPr>
        <w:t>Figure 2. Age and sex adjusted risk ratios for DSP recipients reporting at least one condition in each ICD-10 category compared to wage earners</w:t>
      </w:r>
    </w:p>
    <w:p w:rsidR="005330BF" w:rsidRDefault="005330BF">
      <w:pPr>
        <w:pStyle w:val="BodyText"/>
        <w:ind w:left="0"/>
        <w:rPr>
          <w:b/>
          <w:sz w:val="20"/>
        </w:rPr>
      </w:pPr>
    </w:p>
    <w:p w:rsidR="005330BF" w:rsidRDefault="00136814">
      <w:pPr>
        <w:pStyle w:val="BodyText"/>
        <w:spacing w:before="8"/>
        <w:ind w:left="0"/>
        <w:rPr>
          <w:b/>
          <w:sz w:val="10"/>
        </w:rPr>
      </w:pPr>
      <w:r>
        <w:rPr>
          <w:noProof/>
        </w:rPr>
        <w:drawing>
          <wp:anchor distT="0" distB="0" distL="0" distR="0" simplePos="0" relativeHeight="251646976" behindDoc="0" locked="0" layoutInCell="1" allowOverlap="1">
            <wp:simplePos x="0" y="0"/>
            <wp:positionH relativeFrom="page">
              <wp:posOffset>579262</wp:posOffset>
            </wp:positionH>
            <wp:positionV relativeFrom="paragraph">
              <wp:posOffset>105907</wp:posOffset>
            </wp:positionV>
            <wp:extent cx="5404771" cy="389867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404771" cy="3898677"/>
                    </a:xfrm>
                    <a:prstGeom prst="rect">
                      <a:avLst/>
                    </a:prstGeom>
                  </pic:spPr>
                </pic:pic>
              </a:graphicData>
            </a:graphic>
          </wp:anchor>
        </w:drawing>
      </w:r>
    </w:p>
    <w:p w:rsidR="005330BF" w:rsidRDefault="005330BF">
      <w:pPr>
        <w:rPr>
          <w:sz w:val="10"/>
        </w:rPr>
        <w:sectPr w:rsidR="005330BF">
          <w:pgSz w:w="11910" w:h="16840"/>
          <w:pgMar w:top="1160" w:right="540" w:bottom="480" w:left="740" w:header="0" w:footer="290" w:gutter="0"/>
          <w:cols w:space="720"/>
        </w:sectPr>
      </w:pPr>
    </w:p>
    <w:bookmarkStart w:id="38" w:name="_bookmark20"/>
    <w:bookmarkStart w:id="39" w:name="Figure_3._Age_and_sex_adjusted_risk_rati"/>
    <w:bookmarkStart w:id="40" w:name="_bookmark19"/>
    <w:bookmarkEnd w:id="38"/>
    <w:bookmarkEnd w:id="39"/>
    <w:bookmarkEnd w:id="40"/>
    <w:p w:rsidR="005330BF" w:rsidRDefault="00136814">
      <w:pPr>
        <w:pStyle w:val="BodyText"/>
        <w:spacing w:before="45" w:line="276" w:lineRule="auto"/>
        <w:ind w:left="110" w:right="1225"/>
      </w:pPr>
      <w:r>
        <w:fldChar w:fldCharType="begin"/>
      </w:r>
      <w:r>
        <w:instrText xml:space="preserve"> HYPERLINK \l "_bookmark20" </w:instrText>
      </w:r>
      <w:r>
        <w:fldChar w:fldCharType="separate"/>
      </w:r>
      <w:r>
        <w:rPr>
          <w:b/>
          <w:color w:val="25408F"/>
        </w:rPr>
        <w:t xml:space="preserve">Figure 3 </w:t>
      </w:r>
      <w:r>
        <w:rPr>
          <w:b/>
          <w:color w:val="25408F"/>
        </w:rPr>
        <w:fldChar w:fldCharType="end"/>
      </w:r>
      <w:r>
        <w:t>presents age and sex adjusted risk ratios for the N</w:t>
      </w:r>
      <w:r>
        <w:t>SA group compared to the wage earners group. These results indicate that:</w:t>
      </w:r>
    </w:p>
    <w:p w:rsidR="005330BF" w:rsidRDefault="00136814">
      <w:pPr>
        <w:pStyle w:val="ListParagraph"/>
        <w:numPr>
          <w:ilvl w:val="0"/>
          <w:numId w:val="2"/>
        </w:numPr>
        <w:tabs>
          <w:tab w:val="left" w:pos="470"/>
          <w:tab w:val="left" w:pos="471"/>
        </w:tabs>
        <w:spacing w:before="153" w:line="278" w:lineRule="auto"/>
        <w:ind w:right="1678"/>
      </w:pPr>
      <w:r>
        <w:t>NSA recipients had significantly higher risk of reporting health conditions than the</w:t>
      </w:r>
      <w:r>
        <w:rPr>
          <w:spacing w:val="-35"/>
        </w:rPr>
        <w:t xml:space="preserve"> </w:t>
      </w:r>
      <w:r>
        <w:t>wage earners group in eight of the sixteen ICD-10</w:t>
      </w:r>
      <w:r>
        <w:rPr>
          <w:spacing w:val="-8"/>
        </w:rPr>
        <w:t xml:space="preserve"> </w:t>
      </w:r>
      <w:r>
        <w:t>categories.</w:t>
      </w:r>
    </w:p>
    <w:p w:rsidR="005330BF" w:rsidRDefault="00136814">
      <w:pPr>
        <w:pStyle w:val="ListParagraph"/>
        <w:numPr>
          <w:ilvl w:val="0"/>
          <w:numId w:val="2"/>
        </w:numPr>
        <w:tabs>
          <w:tab w:val="left" w:pos="470"/>
          <w:tab w:val="left" w:pos="471"/>
        </w:tabs>
        <w:spacing w:line="278" w:lineRule="auto"/>
        <w:ind w:right="1186"/>
      </w:pPr>
      <w:r>
        <w:t>NSA recipients had more than two ti</w:t>
      </w:r>
      <w:r>
        <w:t>mes the relative risk of reporting mental and</w:t>
      </w:r>
      <w:r>
        <w:rPr>
          <w:spacing w:val="-44"/>
        </w:rPr>
        <w:t xml:space="preserve"> </w:t>
      </w:r>
      <w:r>
        <w:t>behavioural problems than wage</w:t>
      </w:r>
      <w:r>
        <w:rPr>
          <w:spacing w:val="-3"/>
        </w:rPr>
        <w:t xml:space="preserve"> </w:t>
      </w:r>
      <w:r>
        <w:t>earners.</w:t>
      </w:r>
    </w:p>
    <w:p w:rsidR="005330BF" w:rsidRDefault="00136814">
      <w:pPr>
        <w:pStyle w:val="ListParagraph"/>
        <w:numPr>
          <w:ilvl w:val="0"/>
          <w:numId w:val="2"/>
        </w:numPr>
        <w:tabs>
          <w:tab w:val="left" w:pos="470"/>
          <w:tab w:val="left" w:pos="471"/>
        </w:tabs>
        <w:spacing w:line="278" w:lineRule="auto"/>
        <w:ind w:right="1203"/>
      </w:pPr>
      <w:r>
        <w:t>NSA recipients had significantly higher risk than wage earners of reporting digestive</w:t>
      </w:r>
      <w:r>
        <w:rPr>
          <w:spacing w:val="-44"/>
        </w:rPr>
        <w:t xml:space="preserve"> </w:t>
      </w:r>
      <w:r>
        <w:t>system, ear and mastoid, nervous system, musculoskeletal and connective tissue, circ</w:t>
      </w:r>
      <w:r>
        <w:t>ulatory system, endocrine, nutritional and metabolic, and genito-urinary system</w:t>
      </w:r>
      <w:r>
        <w:rPr>
          <w:spacing w:val="-19"/>
        </w:rPr>
        <w:t xml:space="preserve"> </w:t>
      </w:r>
      <w:r>
        <w:t>diseases.</w:t>
      </w:r>
    </w:p>
    <w:p w:rsidR="005330BF" w:rsidRDefault="005330BF">
      <w:pPr>
        <w:pStyle w:val="BodyText"/>
        <w:spacing w:before="10"/>
        <w:ind w:left="0"/>
        <w:rPr>
          <w:sz w:val="19"/>
        </w:rPr>
      </w:pPr>
    </w:p>
    <w:p w:rsidR="005330BF" w:rsidRDefault="00136814">
      <w:pPr>
        <w:spacing w:before="66" w:line="268" w:lineRule="auto"/>
        <w:ind w:left="110" w:right="1892"/>
        <w:rPr>
          <w:b/>
          <w:sz w:val="18"/>
        </w:rPr>
      </w:pPr>
      <w:r>
        <w:rPr>
          <w:b/>
          <w:color w:val="25408F"/>
          <w:sz w:val="18"/>
        </w:rPr>
        <w:t>Figure 3. Age and sex adjusted risk ratios for NSA recipients reporting at least one condition in each ICD-10 category compared to wage earners</w:t>
      </w:r>
    </w:p>
    <w:p w:rsidR="005330BF" w:rsidRDefault="00136814">
      <w:pPr>
        <w:pStyle w:val="BodyText"/>
        <w:ind w:left="0"/>
        <w:rPr>
          <w:b/>
          <w:sz w:val="10"/>
        </w:rPr>
      </w:pPr>
      <w:r>
        <w:rPr>
          <w:noProof/>
        </w:rPr>
        <w:drawing>
          <wp:anchor distT="0" distB="0" distL="0" distR="0" simplePos="0" relativeHeight="251648000" behindDoc="0" locked="0" layoutInCell="1" allowOverlap="1">
            <wp:simplePos x="0" y="0"/>
            <wp:positionH relativeFrom="page">
              <wp:posOffset>540004</wp:posOffset>
            </wp:positionH>
            <wp:positionV relativeFrom="paragraph">
              <wp:posOffset>100800</wp:posOffset>
            </wp:positionV>
            <wp:extent cx="5785925" cy="424281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785925" cy="4242816"/>
                    </a:xfrm>
                    <a:prstGeom prst="rect">
                      <a:avLst/>
                    </a:prstGeom>
                  </pic:spPr>
                </pic:pic>
              </a:graphicData>
            </a:graphic>
          </wp:anchor>
        </w:drawing>
      </w:r>
    </w:p>
    <w:p w:rsidR="005330BF" w:rsidRDefault="005330BF">
      <w:pPr>
        <w:rPr>
          <w:sz w:val="10"/>
        </w:rPr>
        <w:sectPr w:rsidR="005330BF">
          <w:pgSz w:w="11910" w:h="16840"/>
          <w:pgMar w:top="1160" w:right="540" w:bottom="560" w:left="740" w:header="0" w:footer="290" w:gutter="0"/>
          <w:cols w:space="720"/>
        </w:sectPr>
      </w:pPr>
    </w:p>
    <w:p w:rsidR="005330BF" w:rsidRDefault="00136814">
      <w:pPr>
        <w:pStyle w:val="Heading3"/>
        <w:spacing w:before="45"/>
        <w:ind w:left="110"/>
      </w:pPr>
      <w:bookmarkStart w:id="41" w:name="_bookmark22"/>
      <w:bookmarkStart w:id="42" w:name="Figure_4._The_20_ICD-10_conditions_with_"/>
      <w:bookmarkStart w:id="43" w:name="_bookmark21"/>
      <w:bookmarkEnd w:id="41"/>
      <w:bookmarkEnd w:id="42"/>
      <w:bookmarkEnd w:id="43"/>
      <w:r>
        <w:rPr>
          <w:color w:val="58595B"/>
        </w:rPr>
        <w:t>Specific Diseases &amp; Conditions</w:t>
      </w:r>
    </w:p>
    <w:p w:rsidR="005330BF" w:rsidRDefault="00136814">
      <w:pPr>
        <w:pStyle w:val="BodyText"/>
        <w:spacing w:before="190" w:line="278" w:lineRule="auto"/>
        <w:ind w:left="110" w:right="1731"/>
      </w:pPr>
      <w:r>
        <w:t>In addition to broad categories of disease, we examined the specific conditions reported in the NHS by people in each of the three study groups.</w:t>
      </w:r>
    </w:p>
    <w:p w:rsidR="005330BF" w:rsidRDefault="00136814">
      <w:pPr>
        <w:pStyle w:val="BodyText"/>
        <w:spacing w:before="147" w:line="276" w:lineRule="auto"/>
        <w:ind w:left="110" w:right="2098"/>
      </w:pPr>
      <w:hyperlink w:anchor="_bookmark22" w:history="1">
        <w:r>
          <w:rPr>
            <w:b/>
            <w:color w:val="25408F"/>
          </w:rPr>
          <w:t xml:space="preserve">Figure 4 </w:t>
        </w:r>
      </w:hyperlink>
      <w:r>
        <w:t>presents the 20 conditions with the high</w:t>
      </w:r>
      <w:r>
        <w:t>est age and sex adjusted relative risk (RR) of being reported by the DSP group compared to the wage earners group.</w:t>
      </w:r>
    </w:p>
    <w:p w:rsidR="005330BF" w:rsidRDefault="00136814">
      <w:pPr>
        <w:pStyle w:val="BodyText"/>
        <w:spacing w:before="4"/>
        <w:ind w:left="110"/>
      </w:pPr>
      <w:r>
        <w:t>These results indicate that:</w:t>
      </w:r>
    </w:p>
    <w:p w:rsidR="005330BF" w:rsidRDefault="00136814">
      <w:pPr>
        <w:pStyle w:val="ListParagraph"/>
        <w:numPr>
          <w:ilvl w:val="0"/>
          <w:numId w:val="2"/>
        </w:numPr>
        <w:tabs>
          <w:tab w:val="left" w:pos="470"/>
          <w:tab w:val="left" w:pos="471"/>
        </w:tabs>
        <w:spacing w:before="191" w:line="278" w:lineRule="auto"/>
        <w:ind w:right="1949"/>
      </w:pPr>
      <w:r>
        <w:t>DSP recipients have a higher risk of reporting a number of psychological and mental health conditions and sympto</w:t>
      </w:r>
      <w:r>
        <w:t xml:space="preserve">ms compared with wage earners. Thirteen of the 20 conditions with the highest RR were in the mental and behavioural disorder category and included mood disorders, anxiety disorders, depression, obsessive compulsive </w:t>
      </w:r>
      <w:r>
        <w:rPr>
          <w:spacing w:val="-3"/>
        </w:rPr>
        <w:t xml:space="preserve">disorder, </w:t>
      </w:r>
      <w:r>
        <w:t>alcohol and drug problems, post</w:t>
      </w:r>
      <w:r>
        <w:t xml:space="preserve">-traumatic stress </w:t>
      </w:r>
      <w:r>
        <w:rPr>
          <w:spacing w:val="-3"/>
        </w:rPr>
        <w:t xml:space="preserve">disorder, </w:t>
      </w:r>
      <w:r>
        <w:t>and problems of psychological</w:t>
      </w:r>
      <w:r>
        <w:rPr>
          <w:spacing w:val="-2"/>
        </w:rPr>
        <w:t xml:space="preserve"> </w:t>
      </w:r>
      <w:r>
        <w:t>development.</w:t>
      </w:r>
    </w:p>
    <w:p w:rsidR="005330BF" w:rsidRDefault="00136814">
      <w:pPr>
        <w:pStyle w:val="ListParagraph"/>
        <w:numPr>
          <w:ilvl w:val="0"/>
          <w:numId w:val="2"/>
        </w:numPr>
        <w:tabs>
          <w:tab w:val="left" w:pos="470"/>
          <w:tab w:val="left" w:pos="471"/>
        </w:tabs>
        <w:spacing w:before="1" w:line="278" w:lineRule="auto"/>
        <w:ind w:right="2197"/>
      </w:pPr>
      <w:r>
        <w:t>The highest relative risk in DSP recipients were for ‘Other Mental and Behavioural Problems’, ‘Autism Spectrum Disorders’, and ‘Other Affective Mood</w:t>
      </w:r>
      <w:r>
        <w:rPr>
          <w:spacing w:val="-35"/>
        </w:rPr>
        <w:t xml:space="preserve"> </w:t>
      </w:r>
      <w:r>
        <w:t>Disorders’</w:t>
      </w:r>
    </w:p>
    <w:p w:rsidR="005330BF" w:rsidRDefault="00136814">
      <w:pPr>
        <w:pStyle w:val="ListParagraph"/>
        <w:numPr>
          <w:ilvl w:val="0"/>
          <w:numId w:val="2"/>
        </w:numPr>
        <w:tabs>
          <w:tab w:val="left" w:pos="470"/>
          <w:tab w:val="left" w:pos="471"/>
        </w:tabs>
        <w:spacing w:line="278" w:lineRule="auto"/>
        <w:ind w:right="1987"/>
      </w:pPr>
      <w:r>
        <w:t>People in the DSP group had at least 4 times, and up to 50 times, the relative risk of reporting each of these specific conditions than people in the wage earners group, reflecting very large differences in risk of these conditions between the two</w:t>
      </w:r>
      <w:r>
        <w:rPr>
          <w:spacing w:val="-25"/>
        </w:rPr>
        <w:t xml:space="preserve"> </w:t>
      </w:r>
      <w:r>
        <w:t>groups.</w:t>
      </w:r>
    </w:p>
    <w:p w:rsidR="005330BF" w:rsidRDefault="005330BF">
      <w:pPr>
        <w:pStyle w:val="BodyText"/>
        <w:spacing w:before="3"/>
        <w:ind w:left="0"/>
        <w:rPr>
          <w:sz w:val="21"/>
        </w:rPr>
      </w:pPr>
    </w:p>
    <w:p w:rsidR="005330BF" w:rsidRDefault="00136814">
      <w:pPr>
        <w:spacing w:before="66" w:line="268" w:lineRule="auto"/>
        <w:ind w:left="110" w:right="1667"/>
        <w:rPr>
          <w:b/>
          <w:sz w:val="18"/>
        </w:rPr>
      </w:pPr>
      <w:r>
        <w:rPr>
          <w:b/>
          <w:color w:val="25408F"/>
          <w:sz w:val="18"/>
        </w:rPr>
        <w:t>Figure 4. The 20 ICD-10 conditions with the largest adjusted risk ratios for prevalence in DSP recipients compared with wage earners</w:t>
      </w:r>
    </w:p>
    <w:p w:rsidR="005330BF" w:rsidRDefault="00136814">
      <w:pPr>
        <w:pStyle w:val="BodyText"/>
        <w:spacing w:before="8"/>
        <w:ind w:left="0"/>
        <w:rPr>
          <w:b/>
          <w:sz w:val="12"/>
        </w:rPr>
      </w:pPr>
      <w:r>
        <w:rPr>
          <w:noProof/>
        </w:rPr>
        <w:drawing>
          <wp:anchor distT="0" distB="0" distL="0" distR="0" simplePos="0" relativeHeight="251649024" behindDoc="0" locked="0" layoutInCell="1" allowOverlap="1">
            <wp:simplePos x="0" y="0"/>
            <wp:positionH relativeFrom="page">
              <wp:posOffset>576243</wp:posOffset>
            </wp:positionH>
            <wp:positionV relativeFrom="paragraph">
              <wp:posOffset>120814</wp:posOffset>
            </wp:positionV>
            <wp:extent cx="5602791" cy="403250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602791" cy="4032504"/>
                    </a:xfrm>
                    <a:prstGeom prst="rect">
                      <a:avLst/>
                    </a:prstGeom>
                  </pic:spPr>
                </pic:pic>
              </a:graphicData>
            </a:graphic>
          </wp:anchor>
        </w:drawing>
      </w:r>
    </w:p>
    <w:p w:rsidR="005330BF" w:rsidRDefault="005330BF">
      <w:pPr>
        <w:rPr>
          <w:sz w:val="12"/>
        </w:rPr>
        <w:sectPr w:rsidR="005330BF">
          <w:pgSz w:w="11910" w:h="16840"/>
          <w:pgMar w:top="1160" w:right="540" w:bottom="560" w:left="740" w:header="0" w:footer="290" w:gutter="0"/>
          <w:cols w:space="720"/>
        </w:sectPr>
      </w:pPr>
    </w:p>
    <w:bookmarkStart w:id="44" w:name="_bookmark24"/>
    <w:bookmarkStart w:id="45" w:name="Figure_5._The_20_ICD-10_conditions_with_"/>
    <w:bookmarkStart w:id="46" w:name="_bookmark23"/>
    <w:bookmarkEnd w:id="44"/>
    <w:bookmarkEnd w:id="45"/>
    <w:bookmarkEnd w:id="46"/>
    <w:p w:rsidR="005330BF" w:rsidRDefault="00136814">
      <w:pPr>
        <w:pStyle w:val="BodyText"/>
        <w:spacing w:before="45" w:line="276" w:lineRule="auto"/>
        <w:ind w:left="110" w:right="1573"/>
      </w:pPr>
      <w:r>
        <w:fldChar w:fldCharType="begin"/>
      </w:r>
      <w:r>
        <w:instrText xml:space="preserve"> HYPERLINK \l "_bookmark24" </w:instrText>
      </w:r>
      <w:r>
        <w:fldChar w:fldCharType="separate"/>
      </w:r>
      <w:r>
        <w:rPr>
          <w:b/>
          <w:color w:val="25408F"/>
        </w:rPr>
        <w:t xml:space="preserve">Figure 5 </w:t>
      </w:r>
      <w:r>
        <w:rPr>
          <w:b/>
          <w:color w:val="25408F"/>
        </w:rPr>
        <w:fldChar w:fldCharType="end"/>
      </w:r>
      <w:r>
        <w:t>presents the 20 conditions with the highest age and sex adjusted relative risk (RR) of being reported by the NSA group compared to the wage earners group.</w:t>
      </w:r>
    </w:p>
    <w:p w:rsidR="005330BF" w:rsidRDefault="00136814">
      <w:pPr>
        <w:pStyle w:val="BodyText"/>
        <w:spacing w:before="3"/>
        <w:ind w:left="110"/>
      </w:pPr>
      <w:r>
        <w:t>These results indicate that:</w:t>
      </w:r>
    </w:p>
    <w:p w:rsidR="005330BF" w:rsidRDefault="00136814">
      <w:pPr>
        <w:pStyle w:val="ListParagraph"/>
        <w:numPr>
          <w:ilvl w:val="0"/>
          <w:numId w:val="2"/>
        </w:numPr>
        <w:tabs>
          <w:tab w:val="left" w:pos="470"/>
          <w:tab w:val="left" w:pos="471"/>
        </w:tabs>
        <w:spacing w:before="191" w:line="278" w:lineRule="auto"/>
        <w:ind w:right="1545"/>
      </w:pPr>
      <w:r>
        <w:t>In the NSA group the largest increases in risk were observed for ‘Emphys</w:t>
      </w:r>
      <w:r>
        <w:t>ema’, ‘Other Problems of Psychological Development’, and ‘Other Mental and Behavioural</w:t>
      </w:r>
      <w:r>
        <w:rPr>
          <w:spacing w:val="-26"/>
        </w:rPr>
        <w:t xml:space="preserve"> </w:t>
      </w:r>
      <w:r>
        <w:t>Problems’.</w:t>
      </w:r>
    </w:p>
    <w:p w:rsidR="005330BF" w:rsidRDefault="00136814">
      <w:pPr>
        <w:pStyle w:val="ListParagraph"/>
        <w:numPr>
          <w:ilvl w:val="0"/>
          <w:numId w:val="2"/>
        </w:numPr>
        <w:tabs>
          <w:tab w:val="left" w:pos="470"/>
          <w:tab w:val="left" w:pos="471"/>
        </w:tabs>
        <w:spacing w:line="278" w:lineRule="auto"/>
        <w:ind w:right="1521"/>
      </w:pPr>
      <w:r>
        <w:t xml:space="preserve">NSA recipients have a higher risk of reporting a number of psychological and mental health conditions and symptoms compared with wage earners. </w:t>
      </w:r>
      <w:r>
        <w:rPr>
          <w:spacing w:val="-3"/>
        </w:rPr>
        <w:t xml:space="preserve">Twelve </w:t>
      </w:r>
      <w:r>
        <w:t>of the 2</w:t>
      </w:r>
      <w:r>
        <w:t xml:space="preserve">0 conditions with the highest RR were in the mental and behavioural disorder category and included depression, post-traumatic stress </w:t>
      </w:r>
      <w:r>
        <w:rPr>
          <w:spacing w:val="-3"/>
        </w:rPr>
        <w:t xml:space="preserve">disorder, </w:t>
      </w:r>
      <w:r>
        <w:t>anxiety disorders, obsessive compulsive disorders, alcohol and drug problems, affective mood disorders, and probl</w:t>
      </w:r>
      <w:r>
        <w:t>ems of psychological</w:t>
      </w:r>
      <w:r>
        <w:rPr>
          <w:spacing w:val="-5"/>
        </w:rPr>
        <w:t xml:space="preserve"> </w:t>
      </w:r>
      <w:r>
        <w:t>development.</w:t>
      </w:r>
    </w:p>
    <w:p w:rsidR="005330BF" w:rsidRDefault="00136814">
      <w:pPr>
        <w:pStyle w:val="ListParagraph"/>
        <w:numPr>
          <w:ilvl w:val="0"/>
          <w:numId w:val="2"/>
        </w:numPr>
        <w:tabs>
          <w:tab w:val="left" w:pos="470"/>
          <w:tab w:val="left" w:pos="471"/>
        </w:tabs>
        <w:spacing w:before="1" w:line="278" w:lineRule="auto"/>
        <w:ind w:right="1861"/>
      </w:pPr>
      <w:r>
        <w:t>People in the NSA group had at least 2 times, and up to 6 times, the relative risk of reporting each of these 20 specific conditions than people in the wage earners group, reflecting large differences in risk of these cond</w:t>
      </w:r>
      <w:r>
        <w:t>itions between the two</w:t>
      </w:r>
      <w:r>
        <w:rPr>
          <w:spacing w:val="-16"/>
        </w:rPr>
        <w:t xml:space="preserve"> </w:t>
      </w:r>
      <w:r>
        <w:t>groups.</w:t>
      </w:r>
    </w:p>
    <w:p w:rsidR="005330BF" w:rsidRDefault="005330BF">
      <w:pPr>
        <w:pStyle w:val="BodyText"/>
        <w:spacing w:before="8"/>
        <w:ind w:left="0"/>
        <w:rPr>
          <w:sz w:val="25"/>
        </w:rPr>
      </w:pPr>
    </w:p>
    <w:p w:rsidR="005330BF" w:rsidRDefault="00136814">
      <w:pPr>
        <w:spacing w:line="268" w:lineRule="auto"/>
        <w:ind w:left="110" w:right="1225"/>
        <w:rPr>
          <w:b/>
          <w:sz w:val="18"/>
        </w:rPr>
      </w:pPr>
      <w:r>
        <w:rPr>
          <w:b/>
          <w:color w:val="25408F"/>
          <w:sz w:val="18"/>
        </w:rPr>
        <w:t>Figure 5. The 20 ICD-10 conditions with the largest adjusted risk ratios for prevalence in NSA recipients compared with wage earners</w:t>
      </w:r>
    </w:p>
    <w:p w:rsidR="005330BF" w:rsidRDefault="005330BF">
      <w:pPr>
        <w:pStyle w:val="BodyText"/>
        <w:ind w:left="0"/>
        <w:rPr>
          <w:b/>
          <w:sz w:val="20"/>
        </w:rPr>
      </w:pPr>
    </w:p>
    <w:p w:rsidR="005330BF" w:rsidRDefault="00136814">
      <w:pPr>
        <w:pStyle w:val="BodyText"/>
        <w:spacing w:before="3"/>
        <w:ind w:left="0"/>
        <w:rPr>
          <w:b/>
          <w:sz w:val="15"/>
        </w:rPr>
      </w:pPr>
      <w:r>
        <w:rPr>
          <w:noProof/>
        </w:rPr>
        <w:drawing>
          <wp:anchor distT="0" distB="0" distL="0" distR="0" simplePos="0" relativeHeight="251650048" behindDoc="0" locked="0" layoutInCell="1" allowOverlap="1">
            <wp:simplePos x="0" y="0"/>
            <wp:positionH relativeFrom="page">
              <wp:posOffset>546497</wp:posOffset>
            </wp:positionH>
            <wp:positionV relativeFrom="paragraph">
              <wp:posOffset>140701</wp:posOffset>
            </wp:positionV>
            <wp:extent cx="6036260" cy="435254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6036260" cy="4352544"/>
                    </a:xfrm>
                    <a:prstGeom prst="rect">
                      <a:avLst/>
                    </a:prstGeom>
                  </pic:spPr>
                </pic:pic>
              </a:graphicData>
            </a:graphic>
          </wp:anchor>
        </w:drawing>
      </w:r>
    </w:p>
    <w:p w:rsidR="005330BF" w:rsidRDefault="005330BF">
      <w:pPr>
        <w:rPr>
          <w:sz w:val="15"/>
        </w:rPr>
        <w:sectPr w:rsidR="005330BF">
          <w:pgSz w:w="11910" w:h="16840"/>
          <w:pgMar w:top="1160" w:right="540" w:bottom="560" w:left="740" w:header="0" w:footer="290" w:gutter="0"/>
          <w:cols w:space="720"/>
        </w:sectPr>
      </w:pPr>
    </w:p>
    <w:p w:rsidR="005330BF" w:rsidRDefault="00136814">
      <w:pPr>
        <w:pStyle w:val="Heading3"/>
        <w:spacing w:before="45"/>
        <w:ind w:left="110"/>
      </w:pPr>
      <w:bookmarkStart w:id="47" w:name="_bookmark26"/>
      <w:bookmarkStart w:id="48" w:name="Figure_6._Age_and_sex_adjusted_risk_rati"/>
      <w:bookmarkStart w:id="49" w:name="_bookmark25"/>
      <w:bookmarkEnd w:id="47"/>
      <w:bookmarkEnd w:id="48"/>
      <w:bookmarkEnd w:id="49"/>
      <w:r>
        <w:rPr>
          <w:color w:val="58595B"/>
        </w:rPr>
        <w:t>Multi-morbidity</w:t>
      </w:r>
    </w:p>
    <w:p w:rsidR="005330BF" w:rsidRDefault="00136814">
      <w:pPr>
        <w:pStyle w:val="BodyText"/>
        <w:spacing w:before="190" w:line="278" w:lineRule="auto"/>
        <w:ind w:left="110" w:right="1658"/>
      </w:pPr>
      <w:r>
        <w:t xml:space="preserve">We also sought to determine whether DSP and NSA recipients were more or less likely to report having multiple conditions than wage earners. </w:t>
      </w:r>
      <w:r>
        <w:rPr>
          <w:spacing w:val="-13"/>
        </w:rPr>
        <w:t xml:space="preserve">To </w:t>
      </w:r>
      <w:r>
        <w:t>do this we first calculated for each individual how many specific conditions they reported and then categorised i</w:t>
      </w:r>
      <w:r>
        <w:t xml:space="preserve">ndividuals into four sub-groups </w:t>
      </w:r>
      <w:r>
        <w:rPr>
          <w:b/>
        </w:rPr>
        <w:t xml:space="preserve">(1) </w:t>
      </w:r>
      <w:r>
        <w:t xml:space="preserve">0 to 4 conditions; </w:t>
      </w:r>
      <w:r>
        <w:rPr>
          <w:b/>
        </w:rPr>
        <w:t xml:space="preserve">(2) </w:t>
      </w:r>
      <w:r>
        <w:t xml:space="preserve">5 to 9 conditions; </w:t>
      </w:r>
      <w:r>
        <w:rPr>
          <w:b/>
        </w:rPr>
        <w:t xml:space="preserve">(3) </w:t>
      </w:r>
      <w:r>
        <w:t xml:space="preserve">10 to 14 conditions; </w:t>
      </w:r>
      <w:r>
        <w:rPr>
          <w:b/>
        </w:rPr>
        <w:t xml:space="preserve">(4) </w:t>
      </w:r>
      <w:r>
        <w:t>15 or more conditions.</w:t>
      </w:r>
    </w:p>
    <w:p w:rsidR="005330BF" w:rsidRDefault="00136814">
      <w:pPr>
        <w:pStyle w:val="BodyText"/>
        <w:spacing w:before="143" w:line="276" w:lineRule="auto"/>
        <w:ind w:left="110" w:right="1719"/>
      </w:pPr>
      <w:hyperlink w:anchor="_bookmark26" w:history="1">
        <w:r>
          <w:rPr>
            <w:b/>
            <w:color w:val="25408F"/>
          </w:rPr>
          <w:t xml:space="preserve">Figure 6 </w:t>
        </w:r>
      </w:hyperlink>
      <w:r>
        <w:t>presents the age and sex adjusted risk ratios for an individual in each of the DSP and NSA groups being in each of these groups, relative to the wage earners group.</w:t>
      </w:r>
    </w:p>
    <w:p w:rsidR="005330BF" w:rsidRDefault="00136814">
      <w:pPr>
        <w:pStyle w:val="BodyText"/>
        <w:spacing w:before="4"/>
        <w:ind w:left="110"/>
      </w:pPr>
      <w:r>
        <w:t>These results show that:</w:t>
      </w:r>
    </w:p>
    <w:p w:rsidR="005330BF" w:rsidRDefault="00136814">
      <w:pPr>
        <w:pStyle w:val="ListParagraph"/>
        <w:numPr>
          <w:ilvl w:val="0"/>
          <w:numId w:val="2"/>
        </w:numPr>
        <w:tabs>
          <w:tab w:val="left" w:pos="470"/>
          <w:tab w:val="left" w:pos="471"/>
        </w:tabs>
        <w:spacing w:before="191" w:line="278" w:lineRule="auto"/>
        <w:ind w:right="2160"/>
      </w:pPr>
      <w:r>
        <w:t>Both DSP and NSA recipients were significantly more likely to repo</w:t>
      </w:r>
      <w:r>
        <w:t>rt having five</w:t>
      </w:r>
      <w:r>
        <w:rPr>
          <w:spacing w:val="-41"/>
        </w:rPr>
        <w:t xml:space="preserve"> </w:t>
      </w:r>
      <w:r>
        <w:t>or more conditions than wage</w:t>
      </w:r>
      <w:r>
        <w:rPr>
          <w:spacing w:val="-2"/>
        </w:rPr>
        <w:t xml:space="preserve"> </w:t>
      </w:r>
      <w:r>
        <w:t>earners.</w:t>
      </w:r>
    </w:p>
    <w:p w:rsidR="005330BF" w:rsidRDefault="00136814">
      <w:pPr>
        <w:pStyle w:val="ListParagraph"/>
        <w:numPr>
          <w:ilvl w:val="0"/>
          <w:numId w:val="2"/>
        </w:numPr>
        <w:tabs>
          <w:tab w:val="left" w:pos="470"/>
          <w:tab w:val="left" w:pos="471"/>
        </w:tabs>
        <w:spacing w:line="278" w:lineRule="auto"/>
        <w:ind w:right="1634"/>
      </w:pPr>
      <w:r>
        <w:t>Both DSP and NSA</w:t>
      </w:r>
      <w:r>
        <w:rPr>
          <w:spacing w:val="-45"/>
        </w:rPr>
        <w:t xml:space="preserve"> </w:t>
      </w:r>
      <w:r>
        <w:t>recipients were significantly less likely to report having four or fewer conditions than wage</w:t>
      </w:r>
      <w:r>
        <w:rPr>
          <w:spacing w:val="-2"/>
        </w:rPr>
        <w:t xml:space="preserve"> </w:t>
      </w:r>
      <w:r>
        <w:t>earners.</w:t>
      </w:r>
    </w:p>
    <w:p w:rsidR="005330BF" w:rsidRDefault="00136814">
      <w:pPr>
        <w:pStyle w:val="ListParagraph"/>
        <w:numPr>
          <w:ilvl w:val="0"/>
          <w:numId w:val="2"/>
        </w:numPr>
        <w:tabs>
          <w:tab w:val="left" w:pos="470"/>
          <w:tab w:val="left" w:pos="471"/>
        </w:tabs>
        <w:spacing w:line="278" w:lineRule="auto"/>
        <w:ind w:right="2008"/>
      </w:pPr>
      <w:r>
        <w:t>Those on the DSP had over 17 times the risk of reporting more than 15 conditions, w</w:t>
      </w:r>
      <w:r>
        <w:t>hile those on the NSA had over 5 times the risk of reporting 15 or more</w:t>
      </w:r>
      <w:r>
        <w:rPr>
          <w:spacing w:val="-35"/>
        </w:rPr>
        <w:t xml:space="preserve"> </w:t>
      </w:r>
      <w:r>
        <w:t>conditions, relative to wage</w:t>
      </w:r>
      <w:r>
        <w:rPr>
          <w:spacing w:val="-2"/>
        </w:rPr>
        <w:t xml:space="preserve"> </w:t>
      </w:r>
      <w:r>
        <w:t>earners.</w:t>
      </w:r>
    </w:p>
    <w:p w:rsidR="005330BF" w:rsidRDefault="005330BF">
      <w:pPr>
        <w:pStyle w:val="BodyText"/>
        <w:spacing w:before="7"/>
        <w:ind w:left="0"/>
        <w:rPr>
          <w:sz w:val="25"/>
        </w:rPr>
      </w:pPr>
    </w:p>
    <w:p w:rsidR="005330BF" w:rsidRDefault="00136814">
      <w:pPr>
        <w:spacing w:line="268" w:lineRule="auto"/>
        <w:ind w:left="110" w:right="1628"/>
        <w:rPr>
          <w:b/>
          <w:sz w:val="18"/>
        </w:rPr>
      </w:pPr>
      <w:r>
        <w:rPr>
          <w:b/>
          <w:color w:val="25408F"/>
          <w:sz w:val="18"/>
        </w:rPr>
        <w:t>Figure 6. Age and sex adjusted risk ratios for reporting multiple ICD-10 conditions in DSP and NSA recipients compared to wage earners</w:t>
      </w:r>
    </w:p>
    <w:p w:rsidR="005330BF" w:rsidRDefault="00136814">
      <w:pPr>
        <w:pStyle w:val="BodyText"/>
        <w:spacing w:before="3"/>
        <w:ind w:left="0"/>
        <w:rPr>
          <w:b/>
          <w:sz w:val="20"/>
        </w:rPr>
      </w:pPr>
      <w:r>
        <w:rPr>
          <w:noProof/>
        </w:rPr>
        <w:drawing>
          <wp:anchor distT="0" distB="0" distL="0" distR="0" simplePos="0" relativeHeight="251651072" behindDoc="0" locked="0" layoutInCell="1" allowOverlap="1">
            <wp:simplePos x="0" y="0"/>
            <wp:positionH relativeFrom="page">
              <wp:posOffset>635413</wp:posOffset>
            </wp:positionH>
            <wp:positionV relativeFrom="paragraph">
              <wp:posOffset>178524</wp:posOffset>
            </wp:positionV>
            <wp:extent cx="5230156" cy="3706939"/>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230156" cy="3706939"/>
                    </a:xfrm>
                    <a:prstGeom prst="rect">
                      <a:avLst/>
                    </a:prstGeom>
                  </pic:spPr>
                </pic:pic>
              </a:graphicData>
            </a:graphic>
          </wp:anchor>
        </w:drawing>
      </w:r>
    </w:p>
    <w:p w:rsidR="005330BF" w:rsidRDefault="005330BF">
      <w:pPr>
        <w:rPr>
          <w:sz w:val="20"/>
        </w:rPr>
        <w:sectPr w:rsidR="005330BF">
          <w:pgSz w:w="11910" w:h="16840"/>
          <w:pgMar w:top="1160" w:right="540" w:bottom="560" w:left="740" w:header="0" w:footer="290" w:gutter="0"/>
          <w:cols w:space="720"/>
        </w:sectPr>
      </w:pPr>
    </w:p>
    <w:p w:rsidR="005330BF" w:rsidRDefault="00136814">
      <w:pPr>
        <w:pStyle w:val="Heading3"/>
        <w:spacing w:before="45"/>
        <w:ind w:left="110"/>
      </w:pPr>
      <w:bookmarkStart w:id="50" w:name="_bookmark28"/>
      <w:bookmarkStart w:id="51" w:name="Table_4._Age_and_sex_adjusted_risk_ratio"/>
      <w:bookmarkStart w:id="52" w:name="_bookmark27"/>
      <w:bookmarkEnd w:id="50"/>
      <w:bookmarkEnd w:id="51"/>
      <w:bookmarkEnd w:id="52"/>
      <w:r>
        <w:rPr>
          <w:color w:val="58595B"/>
        </w:rPr>
        <w:t>Most Common Conditions in Wage Earners</w:t>
      </w:r>
    </w:p>
    <w:p w:rsidR="005330BF" w:rsidRDefault="00136814">
      <w:pPr>
        <w:pStyle w:val="BodyText"/>
        <w:spacing w:before="190" w:line="278" w:lineRule="auto"/>
        <w:ind w:left="110" w:right="1745"/>
        <w:jc w:val="both"/>
      </w:pPr>
      <w:r>
        <w:t>In a further effort to understand the differences between wage earners and DSP and NSA recipients, we calculated the top ten most commonly reported conditions in wage earners, and then determined th</w:t>
      </w:r>
      <w:r>
        <w:t xml:space="preserve">e age and sex adjusted relative risk of reporting these conditions in the DSP and NSA groups compared to wage earners. This data is shown in </w:t>
      </w:r>
      <w:hyperlink w:anchor="_bookmark28" w:history="1">
        <w:r>
          <w:rPr>
            <w:b/>
            <w:color w:val="25408F"/>
          </w:rPr>
          <w:t>Table 4</w:t>
        </w:r>
        <w:r>
          <w:t>.</w:t>
        </w:r>
      </w:hyperlink>
    </w:p>
    <w:p w:rsidR="005330BF" w:rsidRDefault="00136814">
      <w:pPr>
        <w:pStyle w:val="BodyText"/>
        <w:spacing w:line="255" w:lineRule="exact"/>
        <w:ind w:left="110"/>
      </w:pPr>
      <w:r>
        <w:t>This analysis demonstrates that:</w:t>
      </w:r>
    </w:p>
    <w:p w:rsidR="005330BF" w:rsidRDefault="00136814">
      <w:pPr>
        <w:pStyle w:val="ListParagraph"/>
        <w:numPr>
          <w:ilvl w:val="0"/>
          <w:numId w:val="2"/>
        </w:numPr>
        <w:tabs>
          <w:tab w:val="left" w:pos="470"/>
          <w:tab w:val="left" w:pos="471"/>
        </w:tabs>
        <w:spacing w:before="191" w:line="278" w:lineRule="auto"/>
        <w:ind w:right="1923"/>
      </w:pPr>
      <w:r>
        <w:t>Long and short sightedness are the first and fourth most common conditions in wage earners. NSA recipients are at slightly greater risk of reporting long-sightedness and slightly lower risk of reporting</w:t>
      </w:r>
      <w:r>
        <w:rPr>
          <w:spacing w:val="-3"/>
        </w:rPr>
        <w:t xml:space="preserve"> </w:t>
      </w:r>
      <w:r>
        <w:t>short-sightedness.</w:t>
      </w:r>
    </w:p>
    <w:p w:rsidR="005330BF" w:rsidRDefault="00136814">
      <w:pPr>
        <w:pStyle w:val="ListParagraph"/>
        <w:numPr>
          <w:ilvl w:val="0"/>
          <w:numId w:val="2"/>
        </w:numPr>
        <w:tabs>
          <w:tab w:val="left" w:pos="470"/>
          <w:tab w:val="left" w:pos="471"/>
        </w:tabs>
        <w:spacing w:line="278" w:lineRule="auto"/>
        <w:ind w:right="1751"/>
      </w:pPr>
      <w:r>
        <w:t>Five of the top ten most common co</w:t>
      </w:r>
      <w:r>
        <w:t>nditions reported by wage earners relate to mental health or psychological symptoms. In all cases NSA and DSP recipients are at significantly greater risk of reporting these conditions than wage earners and the magnitude of the increased risk is substantia</w:t>
      </w:r>
      <w:r>
        <w:t>l, ranging from 2.3 times increased risk of feeling anxious in NSA recipients to 7.8 times increased risk of panic disorders</w:t>
      </w:r>
      <w:r>
        <w:rPr>
          <w:spacing w:val="-39"/>
        </w:rPr>
        <w:t xml:space="preserve"> </w:t>
      </w:r>
      <w:r>
        <w:t>in</w:t>
      </w:r>
    </w:p>
    <w:p w:rsidR="005330BF" w:rsidRDefault="00136814">
      <w:pPr>
        <w:pStyle w:val="BodyText"/>
        <w:ind w:left="470"/>
      </w:pPr>
      <w:r>
        <w:t>DSP recipients.</w:t>
      </w:r>
    </w:p>
    <w:p w:rsidR="005330BF" w:rsidRDefault="005330BF">
      <w:pPr>
        <w:pStyle w:val="BodyText"/>
        <w:spacing w:before="2"/>
        <w:ind w:left="0"/>
        <w:rPr>
          <w:sz w:val="27"/>
        </w:rPr>
      </w:pPr>
    </w:p>
    <w:p w:rsidR="005330BF" w:rsidRDefault="00136814">
      <w:pPr>
        <w:spacing w:before="66" w:line="314" w:lineRule="auto"/>
        <w:ind w:left="280" w:right="2088"/>
        <w:rPr>
          <w:b/>
          <w:sz w:val="18"/>
        </w:rPr>
      </w:pPr>
      <w:r>
        <w:rPr>
          <w:noProof/>
        </w:rPr>
        <mc:AlternateContent>
          <mc:Choice Requires="wpg">
            <w:drawing>
              <wp:anchor distT="0" distB="0" distL="0" distR="0" simplePos="0" relativeHeight="251668480" behindDoc="1" locked="0" layoutInCell="1" allowOverlap="1">
                <wp:simplePos x="0" y="0"/>
                <wp:positionH relativeFrom="page">
                  <wp:posOffset>539750</wp:posOffset>
                </wp:positionH>
                <wp:positionV relativeFrom="paragraph">
                  <wp:posOffset>434340</wp:posOffset>
                </wp:positionV>
                <wp:extent cx="5975350" cy="6350"/>
                <wp:effectExtent l="6350" t="5715" r="9525" b="6985"/>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6350"/>
                          <a:chOff x="850" y="684"/>
                          <a:chExt cx="9410" cy="10"/>
                        </a:xfrm>
                      </wpg:grpSpPr>
                      <wps:wsp>
                        <wps:cNvPr id="8" name="Line 9"/>
                        <wps:cNvCnPr>
                          <a:cxnSpLocks noChangeShapeType="1"/>
                        </wps:cNvCnPr>
                        <wps:spPr bwMode="auto">
                          <a:xfrm>
                            <a:off x="850" y="689"/>
                            <a:ext cx="28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3742" y="689"/>
                            <a:ext cx="76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7"/>
                        <wps:cNvCnPr>
                          <a:cxnSpLocks noChangeShapeType="1"/>
                        </wps:cNvCnPr>
                        <wps:spPr bwMode="auto">
                          <a:xfrm>
                            <a:off x="4503" y="689"/>
                            <a:ext cx="144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5949" y="689"/>
                            <a:ext cx="10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7034" y="689"/>
                            <a:ext cx="69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7725" y="689"/>
                            <a:ext cx="144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3"/>
                        <wps:cNvCnPr>
                          <a:cxnSpLocks noChangeShapeType="1"/>
                        </wps:cNvCnPr>
                        <wps:spPr bwMode="auto">
                          <a:xfrm>
                            <a:off x="9174" y="689"/>
                            <a:ext cx="108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52CEC5" id="Group 2" o:spid="_x0000_s1026" style="position:absolute;margin-left:42.5pt;margin-top:34.2pt;width:470.5pt;height:.5pt;z-index:-251648000;mso-wrap-distance-left:0;mso-wrap-distance-right:0;mso-position-horizontal-relative:page" coordorigin="850,684" coordsize="9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">
                <v:line id="Line 9" o:spid="_x0000_s1027" style="position:absolute;visibility:visible;mso-wrap-style:square" from="850,689" to="374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line id="Line 8" o:spid="_x0000_s1028" style="position:absolute;visibility:visible;mso-wrap-style:square" from="3742,689" to="450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" strokeweight=".5pt"/>
                <v:line id="Line 7" o:spid="_x0000_s1029" style="position:absolute;visibility:visible;mso-wrap-style:square" from="4503,689" to="594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" strokeweight=".5pt"/>
                <v:line id="Line 6" o:spid="_x0000_s1030" style="position:absolute;visibility:visible;mso-wrap-style:square" from="5949,689" to="703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v:line id="Line 5" o:spid="_x0000_s1031" style="position:absolute;visibility:visible;mso-wrap-style:square" from="7034,689" to="772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" strokeweight=".5pt"/>
                <v:line id="Line 4" o:spid="_x0000_s1032" style="position:absolute;visibility:visible;mso-wrap-style:square" from="7725,689" to="917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" strokeweight=".5pt"/>
                <v:line id="Line 3" o:spid="_x0000_s1033" style="position:absolute;visibility:visible;mso-wrap-style:square" from="9174,689" to="1026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w10:wrap type="topAndBottom" anchorx="page"/>
              </v:group>
            </w:pict>
          </mc:Fallback>
        </mc:AlternateContent>
      </w:r>
      <w:r>
        <w:rPr>
          <w:b/>
          <w:color w:val="25408F"/>
          <w:sz w:val="18"/>
        </w:rPr>
        <w:t>TABLE 4. AGE AND SEX ADJUSTED RISK RATIOS COMPARING THE TOP 10 REPORTED ICD-10 CONDITIONS IN WAGE EARNERS TO DSP AND NSA RECIPIENTS</w:t>
      </w:r>
    </w:p>
    <w:p w:rsidR="005330BF" w:rsidRDefault="00136814">
      <w:pPr>
        <w:tabs>
          <w:tab w:val="left" w:pos="4169"/>
          <w:tab w:val="left" w:pos="7425"/>
        </w:tabs>
        <w:spacing w:before="98"/>
        <w:ind w:left="280"/>
        <w:rPr>
          <w:b/>
          <w:sz w:val="18"/>
        </w:rPr>
      </w:pPr>
      <w:r>
        <w:rPr>
          <w:b/>
          <w:color w:val="25408F"/>
          <w:sz w:val="18"/>
        </w:rPr>
        <w:t>Condition</w:t>
      </w:r>
      <w:r>
        <w:rPr>
          <w:b/>
          <w:color w:val="25408F"/>
          <w:sz w:val="18"/>
        </w:rPr>
        <w:tab/>
        <w:t>DSP</w:t>
      </w:r>
      <w:r>
        <w:rPr>
          <w:b/>
          <w:color w:val="25408F"/>
          <w:spacing w:val="-5"/>
          <w:sz w:val="18"/>
        </w:rPr>
        <w:t xml:space="preserve"> </w:t>
      </w:r>
      <w:r>
        <w:rPr>
          <w:b/>
          <w:color w:val="25408F"/>
          <w:sz w:val="18"/>
        </w:rPr>
        <w:t>Group</w:t>
      </w:r>
      <w:r>
        <w:rPr>
          <w:b/>
          <w:color w:val="25408F"/>
          <w:sz w:val="18"/>
        </w:rPr>
        <w:tab/>
        <w:t>NSA</w:t>
      </w:r>
      <w:r>
        <w:rPr>
          <w:b/>
          <w:color w:val="25408F"/>
          <w:spacing w:val="-7"/>
          <w:sz w:val="18"/>
        </w:rPr>
        <w:t xml:space="preserve"> </w:t>
      </w:r>
      <w:r>
        <w:rPr>
          <w:b/>
          <w:color w:val="25408F"/>
          <w:sz w:val="18"/>
        </w:rPr>
        <w:t>Group</w:t>
      </w:r>
    </w:p>
    <w:p w:rsidR="005330BF" w:rsidRDefault="005330BF">
      <w:pPr>
        <w:pStyle w:val="BodyText"/>
        <w:spacing w:before="4"/>
        <w:ind w:left="0"/>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650"/>
        <w:gridCol w:w="1378"/>
        <w:gridCol w:w="1188"/>
        <w:gridCol w:w="690"/>
        <w:gridCol w:w="1334"/>
        <w:gridCol w:w="1199"/>
      </w:tblGrid>
      <w:tr w:rsidR="005330BF">
        <w:trPr>
          <w:trHeight w:val="465"/>
        </w:trPr>
        <w:tc>
          <w:tcPr>
            <w:tcW w:w="2966" w:type="dxa"/>
            <w:tcBorders>
              <w:left w:val="nil"/>
              <w:right w:val="nil"/>
            </w:tcBorders>
          </w:tcPr>
          <w:p w:rsidR="005330BF" w:rsidRDefault="005330BF">
            <w:pPr>
              <w:pStyle w:val="TableParagraph"/>
              <w:spacing w:before="0"/>
              <w:ind w:left="0"/>
              <w:rPr>
                <w:rFonts w:ascii="Times New Roman"/>
                <w:sz w:val="18"/>
              </w:rPr>
            </w:pPr>
          </w:p>
        </w:tc>
        <w:tc>
          <w:tcPr>
            <w:tcW w:w="650" w:type="dxa"/>
            <w:tcBorders>
              <w:left w:val="nil"/>
              <w:right w:val="nil"/>
            </w:tcBorders>
          </w:tcPr>
          <w:p w:rsidR="005330BF" w:rsidRDefault="00136814">
            <w:pPr>
              <w:pStyle w:val="TableParagraph"/>
              <w:spacing w:before="127"/>
              <w:ind w:left="95"/>
              <w:rPr>
                <w:b/>
                <w:sz w:val="18"/>
              </w:rPr>
            </w:pPr>
            <w:r>
              <w:rPr>
                <w:b/>
                <w:sz w:val="18"/>
              </w:rPr>
              <w:t>RR</w:t>
            </w:r>
          </w:p>
        </w:tc>
        <w:tc>
          <w:tcPr>
            <w:tcW w:w="1378" w:type="dxa"/>
            <w:tcBorders>
              <w:left w:val="nil"/>
              <w:right w:val="nil"/>
            </w:tcBorders>
          </w:tcPr>
          <w:p w:rsidR="005330BF" w:rsidRDefault="00136814">
            <w:pPr>
              <w:pStyle w:val="TableParagraph"/>
              <w:spacing w:before="127"/>
              <w:ind w:left="206"/>
              <w:rPr>
                <w:b/>
                <w:sz w:val="18"/>
              </w:rPr>
            </w:pPr>
            <w:r>
              <w:rPr>
                <w:b/>
                <w:sz w:val="18"/>
              </w:rPr>
              <w:t>95% CIs</w:t>
            </w:r>
          </w:p>
        </w:tc>
        <w:tc>
          <w:tcPr>
            <w:tcW w:w="1188" w:type="dxa"/>
            <w:tcBorders>
              <w:left w:val="nil"/>
            </w:tcBorders>
          </w:tcPr>
          <w:p w:rsidR="005330BF" w:rsidRDefault="00136814">
            <w:pPr>
              <w:pStyle w:val="TableParagraph"/>
              <w:spacing w:before="127"/>
              <w:ind w:left="274"/>
              <w:rPr>
                <w:b/>
                <w:sz w:val="18"/>
              </w:rPr>
            </w:pPr>
            <w:r>
              <w:rPr>
                <w:b/>
                <w:sz w:val="18"/>
              </w:rPr>
              <w:t>p</w:t>
            </w:r>
          </w:p>
        </w:tc>
        <w:tc>
          <w:tcPr>
            <w:tcW w:w="690" w:type="dxa"/>
            <w:tcBorders>
              <w:right w:val="nil"/>
            </w:tcBorders>
          </w:tcPr>
          <w:p w:rsidR="005330BF" w:rsidRDefault="00136814">
            <w:pPr>
              <w:pStyle w:val="TableParagraph"/>
              <w:spacing w:before="127"/>
              <w:ind w:left="167"/>
              <w:rPr>
                <w:b/>
                <w:sz w:val="18"/>
              </w:rPr>
            </w:pPr>
            <w:r>
              <w:rPr>
                <w:b/>
                <w:sz w:val="18"/>
              </w:rPr>
              <w:t>RR</w:t>
            </w:r>
          </w:p>
        </w:tc>
        <w:tc>
          <w:tcPr>
            <w:tcW w:w="1334" w:type="dxa"/>
            <w:tcBorders>
              <w:left w:val="nil"/>
              <w:right w:val="nil"/>
            </w:tcBorders>
          </w:tcPr>
          <w:p w:rsidR="005330BF" w:rsidRDefault="00136814">
            <w:pPr>
              <w:pStyle w:val="TableParagraph"/>
              <w:spacing w:before="127"/>
              <w:ind w:left="172"/>
              <w:rPr>
                <w:b/>
                <w:sz w:val="18"/>
              </w:rPr>
            </w:pPr>
            <w:r>
              <w:rPr>
                <w:b/>
                <w:sz w:val="18"/>
              </w:rPr>
              <w:t>95% CIs</w:t>
            </w:r>
          </w:p>
        </w:tc>
        <w:tc>
          <w:tcPr>
            <w:tcW w:w="1199" w:type="dxa"/>
            <w:tcBorders>
              <w:left w:val="nil"/>
              <w:right w:val="nil"/>
            </w:tcBorders>
          </w:tcPr>
          <w:p w:rsidR="005330BF" w:rsidRDefault="00136814">
            <w:pPr>
              <w:pStyle w:val="TableParagraph"/>
              <w:spacing w:before="127"/>
              <w:ind w:left="287"/>
              <w:rPr>
                <w:b/>
                <w:sz w:val="18"/>
              </w:rPr>
            </w:pPr>
            <w:r>
              <w:rPr>
                <w:b/>
                <w:sz w:val="18"/>
              </w:rPr>
              <w:t>p</w:t>
            </w:r>
          </w:p>
        </w:tc>
      </w:tr>
      <w:tr w:rsidR="005330BF">
        <w:trPr>
          <w:trHeight w:val="661"/>
        </w:trPr>
        <w:tc>
          <w:tcPr>
            <w:tcW w:w="2966" w:type="dxa"/>
            <w:tcBorders>
              <w:left w:val="nil"/>
              <w:right w:val="nil"/>
            </w:tcBorders>
          </w:tcPr>
          <w:p w:rsidR="005330BF" w:rsidRDefault="00136814">
            <w:pPr>
              <w:pStyle w:val="TableParagraph"/>
              <w:rPr>
                <w:sz w:val="18"/>
              </w:rPr>
            </w:pPr>
            <w:r>
              <w:rPr>
                <w:sz w:val="18"/>
              </w:rPr>
              <w:t>Long sight/hyperopia</w:t>
            </w:r>
          </w:p>
        </w:tc>
        <w:tc>
          <w:tcPr>
            <w:tcW w:w="650" w:type="dxa"/>
            <w:tcBorders>
              <w:left w:val="nil"/>
              <w:right w:val="nil"/>
            </w:tcBorders>
          </w:tcPr>
          <w:p w:rsidR="005330BF" w:rsidRDefault="00136814">
            <w:pPr>
              <w:pStyle w:val="TableParagraph"/>
              <w:ind w:left="95"/>
              <w:rPr>
                <w:sz w:val="18"/>
              </w:rPr>
            </w:pPr>
            <w:r>
              <w:rPr>
                <w:sz w:val="18"/>
              </w:rPr>
              <w:t>1.04</w:t>
            </w:r>
          </w:p>
        </w:tc>
        <w:tc>
          <w:tcPr>
            <w:tcW w:w="1378" w:type="dxa"/>
            <w:tcBorders>
              <w:left w:val="nil"/>
              <w:right w:val="nil"/>
            </w:tcBorders>
          </w:tcPr>
          <w:p w:rsidR="005330BF" w:rsidRDefault="00136814">
            <w:pPr>
              <w:pStyle w:val="TableParagraph"/>
              <w:ind w:left="206"/>
              <w:rPr>
                <w:sz w:val="18"/>
              </w:rPr>
            </w:pPr>
            <w:r>
              <w:rPr>
                <w:sz w:val="18"/>
              </w:rPr>
              <w:t>0.97—1.13</w:t>
            </w:r>
          </w:p>
        </w:tc>
        <w:tc>
          <w:tcPr>
            <w:tcW w:w="1188" w:type="dxa"/>
            <w:tcBorders>
              <w:left w:val="nil"/>
            </w:tcBorders>
          </w:tcPr>
          <w:p w:rsidR="005330BF" w:rsidRDefault="00136814">
            <w:pPr>
              <w:pStyle w:val="TableParagraph"/>
              <w:ind w:left="274"/>
              <w:rPr>
                <w:sz w:val="18"/>
              </w:rPr>
            </w:pPr>
            <w:r>
              <w:rPr>
                <w:sz w:val="18"/>
              </w:rPr>
              <w:t>0.28</w:t>
            </w:r>
          </w:p>
        </w:tc>
        <w:tc>
          <w:tcPr>
            <w:tcW w:w="690" w:type="dxa"/>
            <w:tcBorders>
              <w:right w:val="nil"/>
            </w:tcBorders>
          </w:tcPr>
          <w:p w:rsidR="005330BF" w:rsidRDefault="00136814">
            <w:pPr>
              <w:pStyle w:val="TableParagraph"/>
              <w:ind w:left="167"/>
              <w:rPr>
                <w:sz w:val="18"/>
              </w:rPr>
            </w:pPr>
            <w:r>
              <w:rPr>
                <w:sz w:val="18"/>
              </w:rPr>
              <w:t>1.10</w:t>
            </w:r>
          </w:p>
        </w:tc>
        <w:tc>
          <w:tcPr>
            <w:tcW w:w="1334" w:type="dxa"/>
            <w:tcBorders>
              <w:left w:val="nil"/>
              <w:right w:val="nil"/>
            </w:tcBorders>
          </w:tcPr>
          <w:p w:rsidR="005330BF" w:rsidRDefault="00136814">
            <w:pPr>
              <w:pStyle w:val="TableParagraph"/>
              <w:ind w:left="172"/>
              <w:rPr>
                <w:sz w:val="18"/>
              </w:rPr>
            </w:pPr>
            <w:r>
              <w:rPr>
                <w:sz w:val="18"/>
              </w:rPr>
              <w:t>1.00—1.21</w:t>
            </w:r>
          </w:p>
        </w:tc>
        <w:tc>
          <w:tcPr>
            <w:tcW w:w="1199" w:type="dxa"/>
            <w:tcBorders>
              <w:left w:val="nil"/>
              <w:right w:val="nil"/>
            </w:tcBorders>
          </w:tcPr>
          <w:p w:rsidR="005330BF" w:rsidRDefault="00136814">
            <w:pPr>
              <w:pStyle w:val="TableParagraph"/>
              <w:ind w:left="287"/>
              <w:rPr>
                <w:sz w:val="18"/>
              </w:rPr>
            </w:pPr>
            <w:r>
              <w:rPr>
                <w:sz w:val="18"/>
              </w:rPr>
              <w:t>0.05</w:t>
            </w:r>
          </w:p>
        </w:tc>
      </w:tr>
      <w:tr w:rsidR="005330BF">
        <w:trPr>
          <w:trHeight w:val="661"/>
        </w:trPr>
        <w:tc>
          <w:tcPr>
            <w:tcW w:w="2966" w:type="dxa"/>
            <w:tcBorders>
              <w:left w:val="nil"/>
              <w:right w:val="nil"/>
            </w:tcBorders>
          </w:tcPr>
          <w:p w:rsidR="005330BF" w:rsidRDefault="00136814">
            <w:pPr>
              <w:pStyle w:val="TableParagraph"/>
              <w:rPr>
                <w:sz w:val="18"/>
              </w:rPr>
            </w:pPr>
            <w:r>
              <w:rPr>
                <w:sz w:val="18"/>
              </w:rPr>
              <w:t>Depression</w:t>
            </w:r>
          </w:p>
        </w:tc>
        <w:tc>
          <w:tcPr>
            <w:tcW w:w="650" w:type="dxa"/>
            <w:tcBorders>
              <w:left w:val="nil"/>
              <w:right w:val="nil"/>
            </w:tcBorders>
          </w:tcPr>
          <w:p w:rsidR="005330BF" w:rsidRDefault="00136814">
            <w:pPr>
              <w:pStyle w:val="TableParagraph"/>
              <w:ind w:left="95"/>
              <w:rPr>
                <w:sz w:val="18"/>
              </w:rPr>
            </w:pPr>
            <w:r>
              <w:rPr>
                <w:sz w:val="18"/>
              </w:rPr>
              <w:t>5.99</w:t>
            </w:r>
          </w:p>
        </w:tc>
        <w:tc>
          <w:tcPr>
            <w:tcW w:w="1378" w:type="dxa"/>
            <w:tcBorders>
              <w:left w:val="nil"/>
              <w:right w:val="nil"/>
            </w:tcBorders>
          </w:tcPr>
          <w:p w:rsidR="005330BF" w:rsidRDefault="00136814">
            <w:pPr>
              <w:pStyle w:val="TableParagraph"/>
              <w:ind w:left="206"/>
              <w:rPr>
                <w:sz w:val="18"/>
              </w:rPr>
            </w:pPr>
            <w:r>
              <w:rPr>
                <w:sz w:val="18"/>
              </w:rPr>
              <w:t>5.26 – 6.82</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3.31</w:t>
            </w:r>
          </w:p>
        </w:tc>
        <w:tc>
          <w:tcPr>
            <w:tcW w:w="1334" w:type="dxa"/>
            <w:tcBorders>
              <w:left w:val="nil"/>
              <w:right w:val="nil"/>
            </w:tcBorders>
          </w:tcPr>
          <w:p w:rsidR="005330BF" w:rsidRDefault="00136814">
            <w:pPr>
              <w:pStyle w:val="TableParagraph"/>
              <w:ind w:left="172"/>
              <w:rPr>
                <w:sz w:val="18"/>
              </w:rPr>
            </w:pPr>
            <w:r>
              <w:rPr>
                <w:sz w:val="18"/>
              </w:rPr>
              <w:t>2.75—4.00</w:t>
            </w:r>
          </w:p>
        </w:tc>
        <w:tc>
          <w:tcPr>
            <w:tcW w:w="1199" w:type="dxa"/>
            <w:tcBorders>
              <w:left w:val="nil"/>
              <w:right w:val="nil"/>
            </w:tcBorders>
          </w:tcPr>
          <w:p w:rsidR="005330BF" w:rsidRDefault="00136814">
            <w:pPr>
              <w:pStyle w:val="TableParagraph"/>
              <w:ind w:left="287"/>
              <w:rPr>
                <w:sz w:val="18"/>
              </w:rPr>
            </w:pPr>
            <w:r>
              <w:rPr>
                <w:sz w:val="18"/>
              </w:rPr>
              <w:t>&lt; 0.001</w:t>
            </w:r>
          </w:p>
        </w:tc>
      </w:tr>
      <w:tr w:rsidR="005330BF">
        <w:trPr>
          <w:trHeight w:val="661"/>
        </w:trPr>
        <w:tc>
          <w:tcPr>
            <w:tcW w:w="2966" w:type="dxa"/>
            <w:tcBorders>
              <w:left w:val="nil"/>
              <w:right w:val="nil"/>
            </w:tcBorders>
          </w:tcPr>
          <w:p w:rsidR="005330BF" w:rsidRDefault="00136814">
            <w:pPr>
              <w:pStyle w:val="TableParagraph"/>
              <w:rPr>
                <w:sz w:val="18"/>
              </w:rPr>
            </w:pPr>
            <w:r>
              <w:rPr>
                <w:sz w:val="18"/>
              </w:rPr>
              <w:t>Asthma</w:t>
            </w:r>
          </w:p>
        </w:tc>
        <w:tc>
          <w:tcPr>
            <w:tcW w:w="650" w:type="dxa"/>
            <w:tcBorders>
              <w:left w:val="nil"/>
              <w:right w:val="nil"/>
            </w:tcBorders>
          </w:tcPr>
          <w:p w:rsidR="005330BF" w:rsidRDefault="00136814">
            <w:pPr>
              <w:pStyle w:val="TableParagraph"/>
              <w:ind w:left="95"/>
              <w:rPr>
                <w:sz w:val="18"/>
              </w:rPr>
            </w:pPr>
            <w:r>
              <w:rPr>
                <w:sz w:val="18"/>
              </w:rPr>
              <w:t>1.95</w:t>
            </w:r>
          </w:p>
        </w:tc>
        <w:tc>
          <w:tcPr>
            <w:tcW w:w="1378" w:type="dxa"/>
            <w:tcBorders>
              <w:left w:val="nil"/>
              <w:right w:val="nil"/>
            </w:tcBorders>
          </w:tcPr>
          <w:p w:rsidR="005330BF" w:rsidRDefault="00136814">
            <w:pPr>
              <w:pStyle w:val="TableParagraph"/>
              <w:ind w:left="206"/>
              <w:rPr>
                <w:sz w:val="18"/>
              </w:rPr>
            </w:pPr>
            <w:r>
              <w:rPr>
                <w:sz w:val="18"/>
              </w:rPr>
              <w:t>1.74 – 2.18</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1.12</w:t>
            </w:r>
          </w:p>
        </w:tc>
        <w:tc>
          <w:tcPr>
            <w:tcW w:w="1334" w:type="dxa"/>
            <w:tcBorders>
              <w:left w:val="nil"/>
              <w:right w:val="nil"/>
            </w:tcBorders>
          </w:tcPr>
          <w:p w:rsidR="005330BF" w:rsidRDefault="00136814">
            <w:pPr>
              <w:pStyle w:val="TableParagraph"/>
              <w:ind w:left="172"/>
              <w:rPr>
                <w:sz w:val="18"/>
              </w:rPr>
            </w:pPr>
            <w:r>
              <w:rPr>
                <w:sz w:val="18"/>
              </w:rPr>
              <w:t>0.94—1.33</w:t>
            </w:r>
          </w:p>
        </w:tc>
        <w:tc>
          <w:tcPr>
            <w:tcW w:w="1199" w:type="dxa"/>
            <w:tcBorders>
              <w:left w:val="nil"/>
              <w:right w:val="nil"/>
            </w:tcBorders>
          </w:tcPr>
          <w:p w:rsidR="005330BF" w:rsidRDefault="00136814">
            <w:pPr>
              <w:pStyle w:val="TableParagraph"/>
              <w:ind w:left="287"/>
              <w:rPr>
                <w:sz w:val="18"/>
              </w:rPr>
            </w:pPr>
            <w:r>
              <w:rPr>
                <w:sz w:val="18"/>
              </w:rPr>
              <w:t>0.21</w:t>
            </w:r>
          </w:p>
        </w:tc>
      </w:tr>
      <w:tr w:rsidR="005330BF">
        <w:trPr>
          <w:trHeight w:val="661"/>
        </w:trPr>
        <w:tc>
          <w:tcPr>
            <w:tcW w:w="2966" w:type="dxa"/>
            <w:tcBorders>
              <w:left w:val="nil"/>
              <w:right w:val="nil"/>
            </w:tcBorders>
          </w:tcPr>
          <w:p w:rsidR="005330BF" w:rsidRDefault="00136814">
            <w:pPr>
              <w:pStyle w:val="TableParagraph"/>
              <w:rPr>
                <w:sz w:val="18"/>
              </w:rPr>
            </w:pPr>
            <w:r>
              <w:rPr>
                <w:sz w:val="18"/>
              </w:rPr>
              <w:t>Short sight/myopia</w:t>
            </w:r>
          </w:p>
        </w:tc>
        <w:tc>
          <w:tcPr>
            <w:tcW w:w="650" w:type="dxa"/>
            <w:tcBorders>
              <w:left w:val="nil"/>
              <w:right w:val="nil"/>
            </w:tcBorders>
          </w:tcPr>
          <w:p w:rsidR="005330BF" w:rsidRDefault="00136814">
            <w:pPr>
              <w:pStyle w:val="TableParagraph"/>
              <w:ind w:left="95"/>
              <w:rPr>
                <w:sz w:val="18"/>
              </w:rPr>
            </w:pPr>
            <w:r>
              <w:rPr>
                <w:sz w:val="18"/>
              </w:rPr>
              <w:t>0.97</w:t>
            </w:r>
          </w:p>
        </w:tc>
        <w:tc>
          <w:tcPr>
            <w:tcW w:w="1378" w:type="dxa"/>
            <w:tcBorders>
              <w:left w:val="nil"/>
              <w:right w:val="nil"/>
            </w:tcBorders>
          </w:tcPr>
          <w:p w:rsidR="005330BF" w:rsidRDefault="00136814">
            <w:pPr>
              <w:pStyle w:val="TableParagraph"/>
              <w:ind w:left="206"/>
              <w:rPr>
                <w:sz w:val="18"/>
              </w:rPr>
            </w:pPr>
            <w:r>
              <w:rPr>
                <w:sz w:val="18"/>
              </w:rPr>
              <w:t>0.87—1.09</w:t>
            </w:r>
          </w:p>
        </w:tc>
        <w:tc>
          <w:tcPr>
            <w:tcW w:w="1188" w:type="dxa"/>
            <w:tcBorders>
              <w:left w:val="nil"/>
            </w:tcBorders>
          </w:tcPr>
          <w:p w:rsidR="005330BF" w:rsidRDefault="00136814">
            <w:pPr>
              <w:pStyle w:val="TableParagraph"/>
              <w:ind w:left="274"/>
              <w:rPr>
                <w:sz w:val="18"/>
              </w:rPr>
            </w:pPr>
            <w:r>
              <w:rPr>
                <w:sz w:val="18"/>
              </w:rPr>
              <w:t>0.61</w:t>
            </w:r>
          </w:p>
        </w:tc>
        <w:tc>
          <w:tcPr>
            <w:tcW w:w="690" w:type="dxa"/>
            <w:tcBorders>
              <w:right w:val="nil"/>
            </w:tcBorders>
          </w:tcPr>
          <w:p w:rsidR="005330BF" w:rsidRDefault="00136814">
            <w:pPr>
              <w:pStyle w:val="TableParagraph"/>
              <w:ind w:left="167"/>
              <w:rPr>
                <w:sz w:val="18"/>
              </w:rPr>
            </w:pPr>
            <w:r>
              <w:rPr>
                <w:sz w:val="18"/>
              </w:rPr>
              <w:t>0.81</w:t>
            </w:r>
          </w:p>
        </w:tc>
        <w:tc>
          <w:tcPr>
            <w:tcW w:w="1334" w:type="dxa"/>
            <w:tcBorders>
              <w:left w:val="nil"/>
              <w:right w:val="nil"/>
            </w:tcBorders>
          </w:tcPr>
          <w:p w:rsidR="005330BF" w:rsidRDefault="00136814">
            <w:pPr>
              <w:pStyle w:val="TableParagraph"/>
              <w:ind w:left="172"/>
              <w:rPr>
                <w:sz w:val="18"/>
              </w:rPr>
            </w:pPr>
            <w:r>
              <w:rPr>
                <w:sz w:val="18"/>
              </w:rPr>
              <w:t>0.69—0.94</w:t>
            </w:r>
          </w:p>
        </w:tc>
        <w:tc>
          <w:tcPr>
            <w:tcW w:w="1199" w:type="dxa"/>
            <w:tcBorders>
              <w:left w:val="nil"/>
              <w:right w:val="nil"/>
            </w:tcBorders>
          </w:tcPr>
          <w:p w:rsidR="005330BF" w:rsidRDefault="00136814">
            <w:pPr>
              <w:pStyle w:val="TableParagraph"/>
              <w:ind w:left="287"/>
              <w:rPr>
                <w:sz w:val="18"/>
              </w:rPr>
            </w:pPr>
            <w:r>
              <w:rPr>
                <w:sz w:val="18"/>
              </w:rPr>
              <w:t>0.01</w:t>
            </w:r>
          </w:p>
        </w:tc>
      </w:tr>
      <w:tr w:rsidR="005330BF">
        <w:trPr>
          <w:trHeight w:val="661"/>
        </w:trPr>
        <w:tc>
          <w:tcPr>
            <w:tcW w:w="2966" w:type="dxa"/>
            <w:tcBorders>
              <w:left w:val="nil"/>
              <w:right w:val="nil"/>
            </w:tcBorders>
          </w:tcPr>
          <w:p w:rsidR="005330BF" w:rsidRDefault="00136814">
            <w:pPr>
              <w:pStyle w:val="TableParagraph"/>
              <w:rPr>
                <w:sz w:val="18"/>
              </w:rPr>
            </w:pPr>
            <w:r>
              <w:rPr>
                <w:sz w:val="18"/>
              </w:rPr>
              <w:t>Hypertensive disease</w:t>
            </w:r>
          </w:p>
        </w:tc>
        <w:tc>
          <w:tcPr>
            <w:tcW w:w="650" w:type="dxa"/>
            <w:tcBorders>
              <w:left w:val="nil"/>
              <w:right w:val="nil"/>
            </w:tcBorders>
          </w:tcPr>
          <w:p w:rsidR="005330BF" w:rsidRDefault="00136814">
            <w:pPr>
              <w:pStyle w:val="TableParagraph"/>
              <w:ind w:left="95"/>
              <w:rPr>
                <w:sz w:val="18"/>
              </w:rPr>
            </w:pPr>
            <w:r>
              <w:rPr>
                <w:sz w:val="18"/>
              </w:rPr>
              <w:t>1.60</w:t>
            </w:r>
          </w:p>
        </w:tc>
        <w:tc>
          <w:tcPr>
            <w:tcW w:w="1378" w:type="dxa"/>
            <w:tcBorders>
              <w:left w:val="nil"/>
              <w:right w:val="nil"/>
            </w:tcBorders>
          </w:tcPr>
          <w:p w:rsidR="005330BF" w:rsidRDefault="00136814">
            <w:pPr>
              <w:pStyle w:val="TableParagraph"/>
              <w:ind w:left="206"/>
              <w:rPr>
                <w:sz w:val="18"/>
              </w:rPr>
            </w:pPr>
            <w:r>
              <w:rPr>
                <w:sz w:val="18"/>
              </w:rPr>
              <w:t>1.42—1.81</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1.35</w:t>
            </w:r>
          </w:p>
        </w:tc>
        <w:tc>
          <w:tcPr>
            <w:tcW w:w="1334" w:type="dxa"/>
            <w:tcBorders>
              <w:left w:val="nil"/>
              <w:right w:val="nil"/>
            </w:tcBorders>
          </w:tcPr>
          <w:p w:rsidR="005330BF" w:rsidRDefault="00136814">
            <w:pPr>
              <w:pStyle w:val="TableParagraph"/>
              <w:ind w:left="172"/>
              <w:rPr>
                <w:sz w:val="18"/>
              </w:rPr>
            </w:pPr>
            <w:r>
              <w:rPr>
                <w:sz w:val="18"/>
              </w:rPr>
              <w:t>1.14—1.63</w:t>
            </w:r>
          </w:p>
        </w:tc>
        <w:tc>
          <w:tcPr>
            <w:tcW w:w="1199" w:type="dxa"/>
            <w:tcBorders>
              <w:left w:val="nil"/>
              <w:right w:val="nil"/>
            </w:tcBorders>
          </w:tcPr>
          <w:p w:rsidR="005330BF" w:rsidRDefault="00136814">
            <w:pPr>
              <w:pStyle w:val="TableParagraph"/>
              <w:ind w:left="287"/>
              <w:rPr>
                <w:sz w:val="18"/>
              </w:rPr>
            </w:pPr>
            <w:r>
              <w:rPr>
                <w:sz w:val="18"/>
              </w:rPr>
              <w:t>0.001</w:t>
            </w:r>
          </w:p>
        </w:tc>
      </w:tr>
      <w:tr w:rsidR="005330BF">
        <w:trPr>
          <w:trHeight w:val="661"/>
        </w:trPr>
        <w:tc>
          <w:tcPr>
            <w:tcW w:w="2966" w:type="dxa"/>
            <w:tcBorders>
              <w:left w:val="nil"/>
              <w:right w:val="nil"/>
            </w:tcBorders>
          </w:tcPr>
          <w:p w:rsidR="005330BF" w:rsidRDefault="00136814">
            <w:pPr>
              <w:pStyle w:val="TableParagraph"/>
              <w:rPr>
                <w:sz w:val="18"/>
              </w:rPr>
            </w:pPr>
            <w:r>
              <w:rPr>
                <w:sz w:val="18"/>
              </w:rPr>
              <w:t>Feeling anxious, nervous or tense</w:t>
            </w:r>
          </w:p>
        </w:tc>
        <w:tc>
          <w:tcPr>
            <w:tcW w:w="650" w:type="dxa"/>
            <w:tcBorders>
              <w:left w:val="nil"/>
              <w:right w:val="nil"/>
            </w:tcBorders>
          </w:tcPr>
          <w:p w:rsidR="005330BF" w:rsidRDefault="00136814">
            <w:pPr>
              <w:pStyle w:val="TableParagraph"/>
              <w:ind w:left="95"/>
              <w:rPr>
                <w:sz w:val="18"/>
              </w:rPr>
            </w:pPr>
            <w:r>
              <w:rPr>
                <w:sz w:val="18"/>
              </w:rPr>
              <w:t>3.30</w:t>
            </w:r>
          </w:p>
        </w:tc>
        <w:tc>
          <w:tcPr>
            <w:tcW w:w="1378" w:type="dxa"/>
            <w:tcBorders>
              <w:left w:val="nil"/>
              <w:right w:val="nil"/>
            </w:tcBorders>
          </w:tcPr>
          <w:p w:rsidR="005330BF" w:rsidRDefault="00136814">
            <w:pPr>
              <w:pStyle w:val="TableParagraph"/>
              <w:ind w:left="206"/>
              <w:rPr>
                <w:sz w:val="18"/>
              </w:rPr>
            </w:pPr>
            <w:r>
              <w:rPr>
                <w:sz w:val="18"/>
              </w:rPr>
              <w:t>2.85—3.81</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2.28</w:t>
            </w:r>
          </w:p>
        </w:tc>
        <w:tc>
          <w:tcPr>
            <w:tcW w:w="1334" w:type="dxa"/>
            <w:tcBorders>
              <w:left w:val="nil"/>
              <w:right w:val="nil"/>
            </w:tcBorders>
          </w:tcPr>
          <w:p w:rsidR="005330BF" w:rsidRDefault="00136814">
            <w:pPr>
              <w:pStyle w:val="TableParagraph"/>
              <w:ind w:left="172"/>
              <w:rPr>
                <w:sz w:val="18"/>
              </w:rPr>
            </w:pPr>
            <w:r>
              <w:rPr>
                <w:sz w:val="18"/>
              </w:rPr>
              <w:t>1.88—2.76</w:t>
            </w:r>
          </w:p>
        </w:tc>
        <w:tc>
          <w:tcPr>
            <w:tcW w:w="1199" w:type="dxa"/>
            <w:tcBorders>
              <w:left w:val="nil"/>
              <w:right w:val="nil"/>
            </w:tcBorders>
          </w:tcPr>
          <w:p w:rsidR="005330BF" w:rsidRDefault="00136814">
            <w:pPr>
              <w:pStyle w:val="TableParagraph"/>
              <w:ind w:left="287"/>
              <w:rPr>
                <w:sz w:val="18"/>
              </w:rPr>
            </w:pPr>
            <w:r>
              <w:rPr>
                <w:sz w:val="18"/>
              </w:rPr>
              <w:t>&lt; 0.001</w:t>
            </w:r>
          </w:p>
        </w:tc>
      </w:tr>
      <w:tr w:rsidR="005330BF">
        <w:trPr>
          <w:trHeight w:val="661"/>
        </w:trPr>
        <w:tc>
          <w:tcPr>
            <w:tcW w:w="2966" w:type="dxa"/>
            <w:tcBorders>
              <w:left w:val="nil"/>
              <w:right w:val="nil"/>
            </w:tcBorders>
          </w:tcPr>
          <w:p w:rsidR="005330BF" w:rsidRDefault="00136814">
            <w:pPr>
              <w:pStyle w:val="TableParagraph"/>
              <w:rPr>
                <w:sz w:val="18"/>
              </w:rPr>
            </w:pPr>
            <w:r>
              <w:rPr>
                <w:sz w:val="18"/>
              </w:rPr>
              <w:t>Arthritis—osteoarthritis</w:t>
            </w:r>
          </w:p>
        </w:tc>
        <w:tc>
          <w:tcPr>
            <w:tcW w:w="650" w:type="dxa"/>
            <w:tcBorders>
              <w:left w:val="nil"/>
              <w:right w:val="nil"/>
            </w:tcBorders>
          </w:tcPr>
          <w:p w:rsidR="005330BF" w:rsidRDefault="00136814">
            <w:pPr>
              <w:pStyle w:val="TableParagraph"/>
              <w:ind w:left="95"/>
              <w:rPr>
                <w:sz w:val="18"/>
              </w:rPr>
            </w:pPr>
            <w:r>
              <w:rPr>
                <w:sz w:val="18"/>
              </w:rPr>
              <w:t>2.12</w:t>
            </w:r>
          </w:p>
        </w:tc>
        <w:tc>
          <w:tcPr>
            <w:tcW w:w="1378" w:type="dxa"/>
            <w:tcBorders>
              <w:left w:val="nil"/>
              <w:right w:val="nil"/>
            </w:tcBorders>
          </w:tcPr>
          <w:p w:rsidR="005330BF" w:rsidRDefault="00136814">
            <w:pPr>
              <w:pStyle w:val="TableParagraph"/>
              <w:ind w:left="206"/>
              <w:rPr>
                <w:sz w:val="18"/>
              </w:rPr>
            </w:pPr>
            <w:r>
              <w:rPr>
                <w:sz w:val="18"/>
              </w:rPr>
              <w:t>1.85—2.43</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1.53</w:t>
            </w:r>
          </w:p>
        </w:tc>
        <w:tc>
          <w:tcPr>
            <w:tcW w:w="1334" w:type="dxa"/>
            <w:tcBorders>
              <w:left w:val="nil"/>
              <w:right w:val="nil"/>
            </w:tcBorders>
          </w:tcPr>
          <w:p w:rsidR="005330BF" w:rsidRDefault="00136814">
            <w:pPr>
              <w:pStyle w:val="TableParagraph"/>
              <w:ind w:left="172"/>
              <w:rPr>
                <w:sz w:val="18"/>
              </w:rPr>
            </w:pPr>
            <w:r>
              <w:rPr>
                <w:sz w:val="18"/>
              </w:rPr>
              <w:t>1.23—1.91</w:t>
            </w:r>
          </w:p>
        </w:tc>
        <w:tc>
          <w:tcPr>
            <w:tcW w:w="1199" w:type="dxa"/>
            <w:tcBorders>
              <w:left w:val="nil"/>
              <w:right w:val="nil"/>
            </w:tcBorders>
          </w:tcPr>
          <w:p w:rsidR="005330BF" w:rsidRDefault="00136814">
            <w:pPr>
              <w:pStyle w:val="TableParagraph"/>
              <w:ind w:left="287"/>
              <w:rPr>
                <w:sz w:val="18"/>
              </w:rPr>
            </w:pPr>
            <w:r>
              <w:rPr>
                <w:sz w:val="18"/>
              </w:rPr>
              <w:t>&lt; 0.001</w:t>
            </w:r>
          </w:p>
        </w:tc>
      </w:tr>
      <w:tr w:rsidR="005330BF">
        <w:trPr>
          <w:trHeight w:val="661"/>
        </w:trPr>
        <w:tc>
          <w:tcPr>
            <w:tcW w:w="2966" w:type="dxa"/>
            <w:tcBorders>
              <w:left w:val="nil"/>
              <w:right w:val="nil"/>
            </w:tcBorders>
          </w:tcPr>
          <w:p w:rsidR="005330BF" w:rsidRDefault="00136814">
            <w:pPr>
              <w:pStyle w:val="TableParagraph"/>
              <w:rPr>
                <w:sz w:val="18"/>
              </w:rPr>
            </w:pPr>
            <w:r>
              <w:rPr>
                <w:sz w:val="18"/>
              </w:rPr>
              <w:t>Anxiety disorders</w:t>
            </w:r>
          </w:p>
        </w:tc>
        <w:tc>
          <w:tcPr>
            <w:tcW w:w="650" w:type="dxa"/>
            <w:tcBorders>
              <w:left w:val="nil"/>
              <w:right w:val="nil"/>
            </w:tcBorders>
          </w:tcPr>
          <w:p w:rsidR="005330BF" w:rsidRDefault="00136814">
            <w:pPr>
              <w:pStyle w:val="TableParagraph"/>
              <w:ind w:left="95"/>
              <w:rPr>
                <w:sz w:val="18"/>
              </w:rPr>
            </w:pPr>
            <w:r>
              <w:rPr>
                <w:sz w:val="18"/>
              </w:rPr>
              <w:t>6.59</w:t>
            </w:r>
          </w:p>
        </w:tc>
        <w:tc>
          <w:tcPr>
            <w:tcW w:w="1378" w:type="dxa"/>
            <w:tcBorders>
              <w:left w:val="nil"/>
              <w:right w:val="nil"/>
            </w:tcBorders>
          </w:tcPr>
          <w:p w:rsidR="005330BF" w:rsidRDefault="00136814">
            <w:pPr>
              <w:pStyle w:val="TableParagraph"/>
              <w:ind w:left="206"/>
              <w:rPr>
                <w:sz w:val="18"/>
              </w:rPr>
            </w:pPr>
            <w:r>
              <w:rPr>
                <w:sz w:val="18"/>
              </w:rPr>
              <w:t>5.60—7.77</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3.28</w:t>
            </w:r>
          </w:p>
        </w:tc>
        <w:tc>
          <w:tcPr>
            <w:tcW w:w="1334" w:type="dxa"/>
            <w:tcBorders>
              <w:left w:val="nil"/>
              <w:right w:val="nil"/>
            </w:tcBorders>
          </w:tcPr>
          <w:p w:rsidR="005330BF" w:rsidRDefault="00136814">
            <w:pPr>
              <w:pStyle w:val="TableParagraph"/>
              <w:ind w:left="172"/>
              <w:rPr>
                <w:sz w:val="18"/>
              </w:rPr>
            </w:pPr>
            <w:r>
              <w:rPr>
                <w:sz w:val="18"/>
              </w:rPr>
              <w:t>2.59—4.17</w:t>
            </w:r>
          </w:p>
        </w:tc>
        <w:tc>
          <w:tcPr>
            <w:tcW w:w="1199" w:type="dxa"/>
            <w:tcBorders>
              <w:left w:val="nil"/>
              <w:right w:val="nil"/>
            </w:tcBorders>
          </w:tcPr>
          <w:p w:rsidR="005330BF" w:rsidRDefault="00136814">
            <w:pPr>
              <w:pStyle w:val="TableParagraph"/>
              <w:ind w:left="287"/>
              <w:rPr>
                <w:sz w:val="18"/>
              </w:rPr>
            </w:pPr>
            <w:r>
              <w:rPr>
                <w:sz w:val="18"/>
              </w:rPr>
              <w:t>&lt; 0.001</w:t>
            </w:r>
          </w:p>
        </w:tc>
      </w:tr>
      <w:tr w:rsidR="005330BF">
        <w:trPr>
          <w:trHeight w:val="661"/>
        </w:trPr>
        <w:tc>
          <w:tcPr>
            <w:tcW w:w="2966" w:type="dxa"/>
            <w:tcBorders>
              <w:left w:val="nil"/>
              <w:right w:val="nil"/>
            </w:tcBorders>
          </w:tcPr>
          <w:p w:rsidR="005330BF" w:rsidRDefault="00136814">
            <w:pPr>
              <w:pStyle w:val="TableParagraph"/>
              <w:rPr>
                <w:sz w:val="18"/>
              </w:rPr>
            </w:pPr>
            <w:r>
              <w:rPr>
                <w:sz w:val="18"/>
              </w:rPr>
              <w:t>Feeling depressed</w:t>
            </w:r>
          </w:p>
        </w:tc>
        <w:tc>
          <w:tcPr>
            <w:tcW w:w="650" w:type="dxa"/>
            <w:tcBorders>
              <w:left w:val="nil"/>
              <w:right w:val="nil"/>
            </w:tcBorders>
          </w:tcPr>
          <w:p w:rsidR="005330BF" w:rsidRDefault="00136814">
            <w:pPr>
              <w:pStyle w:val="TableParagraph"/>
              <w:ind w:left="95"/>
              <w:rPr>
                <w:sz w:val="18"/>
              </w:rPr>
            </w:pPr>
            <w:r>
              <w:rPr>
                <w:sz w:val="18"/>
              </w:rPr>
              <w:t>4.13</w:t>
            </w:r>
          </w:p>
        </w:tc>
        <w:tc>
          <w:tcPr>
            <w:tcW w:w="1378" w:type="dxa"/>
            <w:tcBorders>
              <w:left w:val="nil"/>
              <w:right w:val="nil"/>
            </w:tcBorders>
          </w:tcPr>
          <w:p w:rsidR="005330BF" w:rsidRDefault="00136814">
            <w:pPr>
              <w:pStyle w:val="TableParagraph"/>
              <w:ind w:left="206"/>
              <w:rPr>
                <w:sz w:val="18"/>
              </w:rPr>
            </w:pPr>
            <w:r>
              <w:rPr>
                <w:sz w:val="18"/>
              </w:rPr>
              <w:t>3.51—4.86</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3.45</w:t>
            </w:r>
          </w:p>
        </w:tc>
        <w:tc>
          <w:tcPr>
            <w:tcW w:w="1334" w:type="dxa"/>
            <w:tcBorders>
              <w:left w:val="nil"/>
              <w:right w:val="nil"/>
            </w:tcBorders>
          </w:tcPr>
          <w:p w:rsidR="005330BF" w:rsidRDefault="00136814">
            <w:pPr>
              <w:pStyle w:val="TableParagraph"/>
              <w:ind w:left="172"/>
              <w:rPr>
                <w:sz w:val="18"/>
              </w:rPr>
            </w:pPr>
            <w:r>
              <w:rPr>
                <w:sz w:val="18"/>
              </w:rPr>
              <w:t>2.83—4.20</w:t>
            </w:r>
          </w:p>
        </w:tc>
        <w:tc>
          <w:tcPr>
            <w:tcW w:w="1199" w:type="dxa"/>
            <w:tcBorders>
              <w:left w:val="nil"/>
              <w:right w:val="nil"/>
            </w:tcBorders>
          </w:tcPr>
          <w:p w:rsidR="005330BF" w:rsidRDefault="00136814">
            <w:pPr>
              <w:pStyle w:val="TableParagraph"/>
              <w:ind w:left="287"/>
              <w:rPr>
                <w:sz w:val="18"/>
              </w:rPr>
            </w:pPr>
            <w:r>
              <w:rPr>
                <w:sz w:val="18"/>
              </w:rPr>
              <w:t>&lt; 0.001</w:t>
            </w:r>
          </w:p>
        </w:tc>
      </w:tr>
      <w:tr w:rsidR="005330BF">
        <w:trPr>
          <w:trHeight w:val="661"/>
        </w:trPr>
        <w:tc>
          <w:tcPr>
            <w:tcW w:w="2966" w:type="dxa"/>
            <w:tcBorders>
              <w:left w:val="nil"/>
              <w:right w:val="nil"/>
            </w:tcBorders>
          </w:tcPr>
          <w:p w:rsidR="005330BF" w:rsidRDefault="00136814">
            <w:pPr>
              <w:pStyle w:val="TableParagraph"/>
              <w:rPr>
                <w:sz w:val="18"/>
              </w:rPr>
            </w:pPr>
            <w:r>
              <w:rPr>
                <w:sz w:val="18"/>
              </w:rPr>
              <w:t>Panic disorders/panic attacks</w:t>
            </w:r>
          </w:p>
        </w:tc>
        <w:tc>
          <w:tcPr>
            <w:tcW w:w="650" w:type="dxa"/>
            <w:tcBorders>
              <w:left w:val="nil"/>
              <w:right w:val="nil"/>
            </w:tcBorders>
          </w:tcPr>
          <w:p w:rsidR="005330BF" w:rsidRDefault="00136814">
            <w:pPr>
              <w:pStyle w:val="TableParagraph"/>
              <w:ind w:left="95"/>
              <w:rPr>
                <w:sz w:val="18"/>
              </w:rPr>
            </w:pPr>
            <w:r>
              <w:rPr>
                <w:sz w:val="18"/>
              </w:rPr>
              <w:t>7.77</w:t>
            </w:r>
          </w:p>
        </w:tc>
        <w:tc>
          <w:tcPr>
            <w:tcW w:w="1378" w:type="dxa"/>
            <w:tcBorders>
              <w:left w:val="nil"/>
              <w:right w:val="nil"/>
            </w:tcBorders>
          </w:tcPr>
          <w:p w:rsidR="005330BF" w:rsidRDefault="00136814">
            <w:pPr>
              <w:pStyle w:val="TableParagraph"/>
              <w:ind w:left="206"/>
              <w:rPr>
                <w:sz w:val="18"/>
              </w:rPr>
            </w:pPr>
            <w:r>
              <w:rPr>
                <w:sz w:val="18"/>
              </w:rPr>
              <w:t>6.34—9.50</w:t>
            </w:r>
          </w:p>
        </w:tc>
        <w:tc>
          <w:tcPr>
            <w:tcW w:w="1188" w:type="dxa"/>
            <w:tcBorders>
              <w:left w:val="nil"/>
            </w:tcBorders>
          </w:tcPr>
          <w:p w:rsidR="005330BF" w:rsidRDefault="00136814">
            <w:pPr>
              <w:pStyle w:val="TableParagraph"/>
              <w:ind w:left="274"/>
              <w:rPr>
                <w:sz w:val="18"/>
              </w:rPr>
            </w:pPr>
            <w:r>
              <w:rPr>
                <w:sz w:val="18"/>
              </w:rPr>
              <w:t>&lt; 0.001</w:t>
            </w:r>
          </w:p>
        </w:tc>
        <w:tc>
          <w:tcPr>
            <w:tcW w:w="690" w:type="dxa"/>
            <w:tcBorders>
              <w:right w:val="nil"/>
            </w:tcBorders>
          </w:tcPr>
          <w:p w:rsidR="005330BF" w:rsidRDefault="00136814">
            <w:pPr>
              <w:pStyle w:val="TableParagraph"/>
              <w:ind w:left="167"/>
              <w:rPr>
                <w:sz w:val="18"/>
              </w:rPr>
            </w:pPr>
            <w:r>
              <w:rPr>
                <w:sz w:val="18"/>
              </w:rPr>
              <w:t>3.64</w:t>
            </w:r>
          </w:p>
        </w:tc>
        <w:tc>
          <w:tcPr>
            <w:tcW w:w="1334" w:type="dxa"/>
            <w:tcBorders>
              <w:left w:val="nil"/>
              <w:right w:val="nil"/>
            </w:tcBorders>
          </w:tcPr>
          <w:p w:rsidR="005330BF" w:rsidRDefault="00136814">
            <w:pPr>
              <w:pStyle w:val="TableParagraph"/>
              <w:ind w:left="172"/>
              <w:rPr>
                <w:sz w:val="18"/>
              </w:rPr>
            </w:pPr>
            <w:r>
              <w:rPr>
                <w:sz w:val="18"/>
              </w:rPr>
              <w:t>2.71—4.88</w:t>
            </w:r>
          </w:p>
        </w:tc>
        <w:tc>
          <w:tcPr>
            <w:tcW w:w="1199" w:type="dxa"/>
            <w:tcBorders>
              <w:left w:val="nil"/>
              <w:right w:val="nil"/>
            </w:tcBorders>
          </w:tcPr>
          <w:p w:rsidR="005330BF" w:rsidRDefault="00136814">
            <w:pPr>
              <w:pStyle w:val="TableParagraph"/>
              <w:ind w:left="287"/>
              <w:rPr>
                <w:sz w:val="18"/>
              </w:rPr>
            </w:pPr>
            <w:r>
              <w:rPr>
                <w:sz w:val="18"/>
              </w:rPr>
              <w:t>&lt; 0.001</w:t>
            </w:r>
          </w:p>
        </w:tc>
      </w:tr>
    </w:tbl>
    <w:p w:rsidR="005330BF" w:rsidRDefault="00136814">
      <w:pPr>
        <w:spacing w:before="129" w:line="316" w:lineRule="auto"/>
        <w:ind w:left="280" w:right="2256"/>
        <w:rPr>
          <w:i/>
          <w:sz w:val="18"/>
        </w:rPr>
      </w:pPr>
      <w:r>
        <w:rPr>
          <w:i/>
          <w:sz w:val="18"/>
        </w:rPr>
        <w:t>Note: Reference group for both analyses is wage earners; RR = risk ratio; CIs = Confidence Intervals; p = statistical significance where p &lt; 0.05 indicates a statistically significant difference.</w:t>
      </w:r>
    </w:p>
    <w:p w:rsidR="005330BF" w:rsidRDefault="005330BF">
      <w:pPr>
        <w:spacing w:line="316" w:lineRule="auto"/>
        <w:rPr>
          <w:sz w:val="18"/>
        </w:rPr>
        <w:sectPr w:rsidR="005330BF">
          <w:pgSz w:w="11910" w:h="16840"/>
          <w:pgMar w:top="1160" w:right="540" w:bottom="560" w:left="740" w:header="0" w:footer="290" w:gutter="0"/>
          <w:cols w:space="720"/>
        </w:sectPr>
      </w:pPr>
    </w:p>
    <w:p w:rsidR="005330BF" w:rsidRDefault="00136814">
      <w:pPr>
        <w:pStyle w:val="Heading2"/>
        <w:ind w:left="110"/>
      </w:pPr>
      <w:bookmarkStart w:id="53" w:name="_bookmark30"/>
      <w:bookmarkStart w:id="54" w:name="Health_Service_Use"/>
      <w:bookmarkStart w:id="55" w:name="Table_5._Number_and_percentage_of_indivi"/>
      <w:bookmarkStart w:id="56" w:name="_bookmark29"/>
      <w:bookmarkEnd w:id="53"/>
      <w:bookmarkEnd w:id="54"/>
      <w:bookmarkEnd w:id="55"/>
      <w:bookmarkEnd w:id="56"/>
      <w:r>
        <w:rPr>
          <w:color w:val="3B4D96"/>
        </w:rPr>
        <w:t>HEALTH SERVICE USE</w:t>
      </w:r>
    </w:p>
    <w:p w:rsidR="005330BF" w:rsidRDefault="00136814">
      <w:pPr>
        <w:pStyle w:val="BodyText"/>
        <w:spacing w:before="186" w:line="278" w:lineRule="auto"/>
        <w:ind w:left="110" w:right="1927"/>
      </w:pPr>
      <w:r>
        <w:t>Another way of understanding the burden of ill health among a population is to examine use of health services such as primary care, allied health, hospital visits and medicines. We used the data in the NHS to describe and compare health service use between</w:t>
      </w:r>
      <w:r>
        <w:t xml:space="preserve"> DSP recipients, NSA recipients and wage earners.</w:t>
      </w:r>
    </w:p>
    <w:p w:rsidR="005330BF" w:rsidRDefault="00136814">
      <w:pPr>
        <w:pStyle w:val="Heading3"/>
        <w:ind w:left="110"/>
      </w:pPr>
      <w:r>
        <w:rPr>
          <w:color w:val="58595B"/>
        </w:rPr>
        <w:t>Visits to a Health Professional</w:t>
      </w:r>
    </w:p>
    <w:p w:rsidR="005330BF" w:rsidRDefault="00136814">
      <w:pPr>
        <w:pStyle w:val="BodyText"/>
        <w:spacing w:before="190" w:line="278" w:lineRule="auto"/>
        <w:ind w:left="110" w:right="1842"/>
      </w:pPr>
      <w:r>
        <w:t xml:space="preserve">The NHS records self-reported visits to a health professional in the preceding 12 months. The number and percentage of each group reporting that they had visited the various </w:t>
      </w:r>
      <w:r>
        <w:t xml:space="preserve">health professional groups is presented in </w:t>
      </w:r>
      <w:hyperlink w:anchor="_bookmark30" w:history="1">
        <w:r>
          <w:rPr>
            <w:b/>
            <w:color w:val="25408F"/>
          </w:rPr>
          <w:t>Table 5</w:t>
        </w:r>
      </w:hyperlink>
      <w:r>
        <w:t>.</w:t>
      </w:r>
    </w:p>
    <w:p w:rsidR="005330BF" w:rsidRDefault="005330BF">
      <w:pPr>
        <w:pStyle w:val="BodyText"/>
        <w:ind w:left="0"/>
        <w:rPr>
          <w:sz w:val="20"/>
        </w:rPr>
      </w:pPr>
    </w:p>
    <w:p w:rsidR="005330BF" w:rsidRDefault="005330BF">
      <w:pPr>
        <w:pStyle w:val="BodyText"/>
        <w:spacing w:before="1"/>
        <w:ind w:left="0"/>
        <w:rPr>
          <w:sz w:val="13"/>
        </w:rPr>
      </w:pPr>
    </w:p>
    <w:tbl>
      <w:tblPr>
        <w:tblW w:w="0" w:type="auto"/>
        <w:tblInd w:w="117" w:type="dxa"/>
        <w:tblLayout w:type="fixed"/>
        <w:tblCellMar>
          <w:left w:w="0" w:type="dxa"/>
          <w:right w:w="0" w:type="dxa"/>
        </w:tblCellMar>
        <w:tblLook w:val="01E0" w:firstRow="1" w:lastRow="1" w:firstColumn="1" w:lastColumn="1" w:noHBand="0" w:noVBand="0"/>
      </w:tblPr>
      <w:tblGrid>
        <w:gridCol w:w="3163"/>
        <w:gridCol w:w="2016"/>
        <w:gridCol w:w="1689"/>
        <w:gridCol w:w="2033"/>
      </w:tblGrid>
      <w:tr w:rsidR="005330BF">
        <w:trPr>
          <w:trHeight w:val="583"/>
        </w:trPr>
        <w:tc>
          <w:tcPr>
            <w:tcW w:w="8901" w:type="dxa"/>
            <w:gridSpan w:val="4"/>
            <w:tcBorders>
              <w:bottom w:val="single" w:sz="4" w:space="0" w:color="000000"/>
            </w:tcBorders>
          </w:tcPr>
          <w:p w:rsidR="005330BF" w:rsidRDefault="00136814">
            <w:pPr>
              <w:pStyle w:val="TableParagraph"/>
              <w:spacing w:before="0" w:line="180" w:lineRule="exact"/>
              <w:rPr>
                <w:b/>
                <w:sz w:val="18"/>
              </w:rPr>
            </w:pPr>
            <w:r>
              <w:rPr>
                <w:b/>
                <w:color w:val="25408F"/>
                <w:sz w:val="18"/>
              </w:rPr>
              <w:t>TABLE 5. NUMBER AND PERCENTAGE OF INDIVIDUALS IN EACH GROUP WHO VISITED A</w:t>
            </w:r>
          </w:p>
          <w:p w:rsidR="005330BF" w:rsidRDefault="00136814">
            <w:pPr>
              <w:pStyle w:val="TableParagraph"/>
              <w:spacing w:before="65"/>
              <w:rPr>
                <w:b/>
                <w:sz w:val="18"/>
              </w:rPr>
            </w:pPr>
            <w:r>
              <w:rPr>
                <w:b/>
                <w:color w:val="25408F"/>
                <w:sz w:val="18"/>
              </w:rPr>
              <w:t>PARTICULAR HEALTH PROFESSIONAL IN THE PREVIOUS 12 MONTHS</w:t>
            </w:r>
          </w:p>
        </w:tc>
      </w:tr>
      <w:tr w:rsidR="005330BF">
        <w:trPr>
          <w:trHeight w:val="705"/>
        </w:trPr>
        <w:tc>
          <w:tcPr>
            <w:tcW w:w="3163"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Health Professional</w:t>
            </w:r>
          </w:p>
        </w:tc>
        <w:tc>
          <w:tcPr>
            <w:tcW w:w="2016" w:type="dxa"/>
            <w:tcBorders>
              <w:top w:val="single" w:sz="4" w:space="0" w:color="000000"/>
              <w:bottom w:val="single" w:sz="4" w:space="0" w:color="000000"/>
            </w:tcBorders>
          </w:tcPr>
          <w:p w:rsidR="005330BF" w:rsidRDefault="00136814">
            <w:pPr>
              <w:pStyle w:val="TableParagraph"/>
              <w:spacing w:before="127" w:line="268" w:lineRule="auto"/>
              <w:ind w:left="522"/>
              <w:rPr>
                <w:b/>
                <w:sz w:val="18"/>
              </w:rPr>
            </w:pPr>
            <w:r>
              <w:rPr>
                <w:b/>
                <w:color w:val="25408F"/>
                <w:sz w:val="18"/>
              </w:rPr>
              <w:t>Wage Earners (N=8440)</w:t>
            </w:r>
          </w:p>
        </w:tc>
        <w:tc>
          <w:tcPr>
            <w:tcW w:w="1689" w:type="dxa"/>
            <w:tcBorders>
              <w:top w:val="single" w:sz="4" w:space="0" w:color="000000"/>
              <w:bottom w:val="single" w:sz="4" w:space="0" w:color="000000"/>
            </w:tcBorders>
          </w:tcPr>
          <w:p w:rsidR="005330BF" w:rsidRDefault="00136814">
            <w:pPr>
              <w:pStyle w:val="TableParagraph"/>
              <w:spacing w:before="127" w:line="268" w:lineRule="auto"/>
              <w:ind w:left="301"/>
              <w:rPr>
                <w:b/>
                <w:sz w:val="18"/>
              </w:rPr>
            </w:pPr>
            <w:r>
              <w:rPr>
                <w:b/>
                <w:color w:val="25408F"/>
                <w:sz w:val="18"/>
              </w:rPr>
              <w:t>DSP Group (N=638)</w:t>
            </w:r>
          </w:p>
        </w:tc>
        <w:tc>
          <w:tcPr>
            <w:tcW w:w="2033" w:type="dxa"/>
            <w:tcBorders>
              <w:top w:val="single" w:sz="4" w:space="0" w:color="000000"/>
              <w:bottom w:val="single" w:sz="4" w:space="0" w:color="000000"/>
            </w:tcBorders>
          </w:tcPr>
          <w:p w:rsidR="005330BF" w:rsidRDefault="00136814">
            <w:pPr>
              <w:pStyle w:val="TableParagraph"/>
              <w:spacing w:before="127" w:line="268" w:lineRule="auto"/>
              <w:ind w:left="408" w:right="19"/>
              <w:rPr>
                <w:b/>
                <w:sz w:val="18"/>
              </w:rPr>
            </w:pPr>
            <w:r>
              <w:rPr>
                <w:b/>
                <w:color w:val="25408F"/>
                <w:sz w:val="18"/>
              </w:rPr>
              <w:t>NSA Group (N=442)</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General Practitioner</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7100 (84.2%)</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611 (95.8%)</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391 (88.5%)</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Specialist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2746 (32.5%)</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389 (61.0%)</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171 (38.7%)</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Dentist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4133 (49.0%)</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232 (36.4%)</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162 (36.7%)</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Chemist (for advice only)</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761 (9.0%)</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151 (23.7%)</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56 (12.7%)</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Psychologist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420 (5.0%)</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120 (18.8%)</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55 (12.4%)</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Other Health Professional</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427 (5.1%)</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87 (13.6%)</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33 (7.5%)</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Nurse</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273 (3.2%)</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83 (13.0%)</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30 (6.8%)</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Optician/Optometrist/Orthoptist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566 (6.7%)</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82 (12.9%)</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19 (4.3%)</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Physiotherapist/Hydrotherapist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848 (10.1%)</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80 (12.5%)</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26 (5.9%)</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Dietitian/Nutritionist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181 (2.1%)</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68 (10.7%)</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14 (3.2%)</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Radiographer</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380 (4.5%)</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66 (10.3%)</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31 (7.0%)</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Social Worker/Welfare Officer</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49 (0.6%)</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52 (8.2%)</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20 (4.5%)</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Podiatrist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245 (2.9%)</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50 (7.8%)</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9 (2.0%)</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Diabetes Educator</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81 (1.0%)</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44 (6.9%)</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7 (1.6%)</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Counsellor</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147 (1.7%)</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42 (6.6%)</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22 (5.0%)</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Occupational Therapist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74 (0.9%)</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26 (4.1%)</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5 (1.1%)</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Chiropractor</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514 (6.1%)</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20 (3.1%)</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14 (3.2%)</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Audiologist/Audiometrist</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50 (0.6%)</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15 (2.4%)</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6 (1.4%)</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Sonographer</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110 (1.3%)</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13 (2.0%)</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6 (1.4%)</w:t>
            </w:r>
          </w:p>
        </w:tc>
      </w:tr>
      <w:tr w:rsidR="005330BF">
        <w:trPr>
          <w:trHeight w:val="465"/>
        </w:trPr>
        <w:tc>
          <w:tcPr>
            <w:tcW w:w="3163" w:type="dxa"/>
            <w:tcBorders>
              <w:top w:val="single" w:sz="4" w:space="0" w:color="000000"/>
              <w:bottom w:val="single" w:sz="4" w:space="0" w:color="000000"/>
            </w:tcBorders>
          </w:tcPr>
          <w:p w:rsidR="005330BF" w:rsidRDefault="00136814">
            <w:pPr>
              <w:pStyle w:val="TableParagraph"/>
              <w:rPr>
                <w:sz w:val="18"/>
              </w:rPr>
            </w:pPr>
            <w:r>
              <w:rPr>
                <w:sz w:val="18"/>
              </w:rPr>
              <w:t>Naturopath</w:t>
            </w:r>
          </w:p>
        </w:tc>
        <w:tc>
          <w:tcPr>
            <w:tcW w:w="2016" w:type="dxa"/>
            <w:tcBorders>
              <w:top w:val="single" w:sz="4" w:space="0" w:color="000000"/>
              <w:bottom w:val="single" w:sz="4" w:space="0" w:color="000000"/>
            </w:tcBorders>
          </w:tcPr>
          <w:p w:rsidR="005330BF" w:rsidRDefault="00136814">
            <w:pPr>
              <w:pStyle w:val="TableParagraph"/>
              <w:ind w:left="522"/>
              <w:rPr>
                <w:sz w:val="18"/>
              </w:rPr>
            </w:pPr>
            <w:r>
              <w:rPr>
                <w:sz w:val="18"/>
              </w:rPr>
              <w:t>206 (2.4%)</w:t>
            </w:r>
          </w:p>
        </w:tc>
        <w:tc>
          <w:tcPr>
            <w:tcW w:w="1689" w:type="dxa"/>
            <w:tcBorders>
              <w:top w:val="single" w:sz="4" w:space="0" w:color="000000"/>
              <w:bottom w:val="single" w:sz="4" w:space="0" w:color="000000"/>
            </w:tcBorders>
          </w:tcPr>
          <w:p w:rsidR="005330BF" w:rsidRDefault="00136814">
            <w:pPr>
              <w:pStyle w:val="TableParagraph"/>
              <w:ind w:left="301"/>
              <w:rPr>
                <w:sz w:val="18"/>
              </w:rPr>
            </w:pPr>
            <w:r>
              <w:rPr>
                <w:sz w:val="18"/>
              </w:rPr>
              <w:t>12 (1.9%)</w:t>
            </w:r>
          </w:p>
        </w:tc>
        <w:tc>
          <w:tcPr>
            <w:tcW w:w="2033" w:type="dxa"/>
            <w:tcBorders>
              <w:top w:val="single" w:sz="4" w:space="0" w:color="000000"/>
              <w:bottom w:val="single" w:sz="4" w:space="0" w:color="000000"/>
            </w:tcBorders>
          </w:tcPr>
          <w:p w:rsidR="005330BF" w:rsidRDefault="00136814">
            <w:pPr>
              <w:pStyle w:val="TableParagraph"/>
              <w:ind w:left="408"/>
              <w:rPr>
                <w:sz w:val="18"/>
              </w:rPr>
            </w:pPr>
            <w:r>
              <w:rPr>
                <w:sz w:val="18"/>
              </w:rPr>
              <w:t>10 (2.3%)</w:t>
            </w:r>
          </w:p>
        </w:tc>
      </w:tr>
    </w:tbl>
    <w:p w:rsidR="005330BF" w:rsidRDefault="005330BF">
      <w:pPr>
        <w:rPr>
          <w:sz w:val="18"/>
        </w:rPr>
        <w:sectPr w:rsidR="005330BF">
          <w:pgSz w:w="11910" w:h="16840"/>
          <w:pgMar w:top="1160" w:right="540" w:bottom="560" w:left="740" w:header="0" w:footer="29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2768"/>
        <w:gridCol w:w="2412"/>
        <w:gridCol w:w="1677"/>
        <w:gridCol w:w="2044"/>
      </w:tblGrid>
      <w:tr w:rsidR="005330BF">
        <w:trPr>
          <w:trHeight w:val="583"/>
        </w:trPr>
        <w:tc>
          <w:tcPr>
            <w:tcW w:w="8901" w:type="dxa"/>
            <w:gridSpan w:val="4"/>
            <w:tcBorders>
              <w:bottom w:val="single" w:sz="4" w:space="0" w:color="000000"/>
            </w:tcBorders>
          </w:tcPr>
          <w:p w:rsidR="005330BF" w:rsidRDefault="00136814">
            <w:pPr>
              <w:pStyle w:val="TableParagraph"/>
              <w:spacing w:before="0" w:line="180" w:lineRule="exact"/>
              <w:rPr>
                <w:b/>
                <w:sz w:val="18"/>
              </w:rPr>
            </w:pPr>
            <w:r>
              <w:rPr>
                <w:b/>
                <w:color w:val="25408F"/>
                <w:sz w:val="18"/>
              </w:rPr>
              <w:t>TABLE 5. NUMBER AND PERCENTAGE OF INDIVIDUALS IN EACH GROUP WHO VISITED A</w:t>
            </w:r>
          </w:p>
          <w:p w:rsidR="005330BF" w:rsidRDefault="00136814">
            <w:pPr>
              <w:pStyle w:val="TableParagraph"/>
              <w:spacing w:before="65"/>
              <w:rPr>
                <w:b/>
                <w:sz w:val="18"/>
              </w:rPr>
            </w:pPr>
            <w:r>
              <w:rPr>
                <w:b/>
                <w:color w:val="25408F"/>
                <w:sz w:val="18"/>
              </w:rPr>
              <w:t>PARTICULAR HEALTH PROFESSIONAL IN THE PREVIOUS 12 MONTHS</w:t>
            </w:r>
          </w:p>
        </w:tc>
      </w:tr>
      <w:tr w:rsidR="005330BF">
        <w:trPr>
          <w:trHeight w:val="705"/>
        </w:trPr>
        <w:tc>
          <w:tcPr>
            <w:tcW w:w="2768"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Health Professional</w:t>
            </w:r>
          </w:p>
        </w:tc>
        <w:tc>
          <w:tcPr>
            <w:tcW w:w="2412" w:type="dxa"/>
            <w:tcBorders>
              <w:top w:val="single" w:sz="4" w:space="0" w:color="000000"/>
              <w:bottom w:val="single" w:sz="4" w:space="0" w:color="000000"/>
            </w:tcBorders>
          </w:tcPr>
          <w:p w:rsidR="005330BF" w:rsidRDefault="00136814">
            <w:pPr>
              <w:pStyle w:val="TableParagraph"/>
              <w:spacing w:before="127" w:line="268" w:lineRule="auto"/>
              <w:ind w:left="917"/>
              <w:rPr>
                <w:b/>
                <w:sz w:val="18"/>
              </w:rPr>
            </w:pPr>
            <w:r>
              <w:rPr>
                <w:b/>
                <w:color w:val="25408F"/>
                <w:sz w:val="18"/>
              </w:rPr>
              <w:t>Wage Earners (N=8440)</w:t>
            </w:r>
          </w:p>
        </w:tc>
        <w:tc>
          <w:tcPr>
            <w:tcW w:w="1677" w:type="dxa"/>
            <w:tcBorders>
              <w:top w:val="single" w:sz="4" w:space="0" w:color="000000"/>
              <w:bottom w:val="single" w:sz="4" w:space="0" w:color="000000"/>
            </w:tcBorders>
          </w:tcPr>
          <w:p w:rsidR="005330BF" w:rsidRDefault="00136814">
            <w:pPr>
              <w:pStyle w:val="TableParagraph"/>
              <w:spacing w:before="127" w:line="268" w:lineRule="auto"/>
              <w:ind w:left="300"/>
              <w:rPr>
                <w:b/>
                <w:sz w:val="18"/>
              </w:rPr>
            </w:pPr>
            <w:r>
              <w:rPr>
                <w:b/>
                <w:color w:val="25408F"/>
                <w:sz w:val="18"/>
              </w:rPr>
              <w:t>DSP Group (N=638)</w:t>
            </w:r>
          </w:p>
        </w:tc>
        <w:tc>
          <w:tcPr>
            <w:tcW w:w="2044" w:type="dxa"/>
            <w:tcBorders>
              <w:top w:val="single" w:sz="4" w:space="0" w:color="000000"/>
              <w:bottom w:val="single" w:sz="4" w:space="0" w:color="000000"/>
            </w:tcBorders>
          </w:tcPr>
          <w:p w:rsidR="005330BF" w:rsidRDefault="00136814">
            <w:pPr>
              <w:pStyle w:val="TableParagraph"/>
              <w:spacing w:before="127" w:line="268" w:lineRule="auto"/>
              <w:ind w:left="419" w:right="19"/>
              <w:rPr>
                <w:b/>
                <w:sz w:val="18"/>
              </w:rPr>
            </w:pPr>
            <w:r>
              <w:rPr>
                <w:b/>
                <w:color w:val="25408F"/>
                <w:sz w:val="18"/>
              </w:rPr>
              <w:t>NSA Group (N=442)</w:t>
            </w:r>
          </w:p>
        </w:tc>
      </w:tr>
      <w:tr w:rsidR="005330BF">
        <w:trPr>
          <w:trHeight w:val="465"/>
        </w:trPr>
        <w:tc>
          <w:tcPr>
            <w:tcW w:w="2768" w:type="dxa"/>
            <w:tcBorders>
              <w:top w:val="single" w:sz="4" w:space="0" w:color="000000"/>
              <w:bottom w:val="single" w:sz="4" w:space="0" w:color="000000"/>
            </w:tcBorders>
          </w:tcPr>
          <w:p w:rsidR="005330BF" w:rsidRDefault="00136814">
            <w:pPr>
              <w:pStyle w:val="TableParagraph"/>
              <w:rPr>
                <w:sz w:val="18"/>
              </w:rPr>
            </w:pPr>
            <w:r>
              <w:rPr>
                <w:sz w:val="18"/>
              </w:rPr>
              <w:t>Acupuncturist</w:t>
            </w:r>
          </w:p>
        </w:tc>
        <w:tc>
          <w:tcPr>
            <w:tcW w:w="2412" w:type="dxa"/>
            <w:tcBorders>
              <w:top w:val="single" w:sz="4" w:space="0" w:color="000000"/>
              <w:bottom w:val="single" w:sz="4" w:space="0" w:color="000000"/>
            </w:tcBorders>
          </w:tcPr>
          <w:p w:rsidR="005330BF" w:rsidRDefault="00136814">
            <w:pPr>
              <w:pStyle w:val="TableParagraph"/>
              <w:ind w:left="0" w:right="612"/>
              <w:jc w:val="right"/>
              <w:rPr>
                <w:sz w:val="18"/>
              </w:rPr>
            </w:pPr>
            <w:r>
              <w:rPr>
                <w:sz w:val="18"/>
              </w:rPr>
              <w:t>190 (2.3%)</w:t>
            </w:r>
          </w:p>
        </w:tc>
        <w:tc>
          <w:tcPr>
            <w:tcW w:w="1677" w:type="dxa"/>
            <w:tcBorders>
              <w:top w:val="single" w:sz="4" w:space="0" w:color="000000"/>
              <w:bottom w:val="single" w:sz="4" w:space="0" w:color="000000"/>
            </w:tcBorders>
          </w:tcPr>
          <w:p w:rsidR="005330BF" w:rsidRDefault="00136814">
            <w:pPr>
              <w:pStyle w:val="TableParagraph"/>
              <w:ind w:left="300"/>
              <w:rPr>
                <w:sz w:val="18"/>
              </w:rPr>
            </w:pPr>
            <w:r>
              <w:rPr>
                <w:sz w:val="18"/>
              </w:rPr>
              <w:t>10 (1.6%)</w:t>
            </w:r>
          </w:p>
        </w:tc>
        <w:tc>
          <w:tcPr>
            <w:tcW w:w="2044" w:type="dxa"/>
            <w:tcBorders>
              <w:top w:val="single" w:sz="4" w:space="0" w:color="000000"/>
              <w:bottom w:val="single" w:sz="4" w:space="0" w:color="000000"/>
            </w:tcBorders>
          </w:tcPr>
          <w:p w:rsidR="005330BF" w:rsidRDefault="00136814">
            <w:pPr>
              <w:pStyle w:val="TableParagraph"/>
              <w:ind w:left="419"/>
              <w:rPr>
                <w:sz w:val="18"/>
              </w:rPr>
            </w:pPr>
            <w:r>
              <w:rPr>
                <w:sz w:val="18"/>
              </w:rPr>
              <w:t>5 (1.1%)</w:t>
            </w:r>
          </w:p>
        </w:tc>
      </w:tr>
      <w:tr w:rsidR="005330BF">
        <w:trPr>
          <w:trHeight w:val="465"/>
        </w:trPr>
        <w:tc>
          <w:tcPr>
            <w:tcW w:w="2768" w:type="dxa"/>
            <w:tcBorders>
              <w:top w:val="single" w:sz="4" w:space="0" w:color="000000"/>
              <w:bottom w:val="single" w:sz="4" w:space="0" w:color="000000"/>
            </w:tcBorders>
          </w:tcPr>
          <w:p w:rsidR="005330BF" w:rsidRDefault="00136814">
            <w:pPr>
              <w:pStyle w:val="TableParagraph"/>
              <w:rPr>
                <w:sz w:val="18"/>
              </w:rPr>
            </w:pPr>
            <w:r>
              <w:rPr>
                <w:sz w:val="18"/>
              </w:rPr>
              <w:t>Osteopath</w:t>
            </w:r>
          </w:p>
        </w:tc>
        <w:tc>
          <w:tcPr>
            <w:tcW w:w="2412" w:type="dxa"/>
            <w:tcBorders>
              <w:top w:val="single" w:sz="4" w:space="0" w:color="000000"/>
              <w:bottom w:val="single" w:sz="4" w:space="0" w:color="000000"/>
            </w:tcBorders>
          </w:tcPr>
          <w:p w:rsidR="005330BF" w:rsidRDefault="00136814">
            <w:pPr>
              <w:pStyle w:val="TableParagraph"/>
              <w:ind w:left="0" w:right="612"/>
              <w:jc w:val="right"/>
              <w:rPr>
                <w:sz w:val="18"/>
              </w:rPr>
            </w:pPr>
            <w:r>
              <w:rPr>
                <w:sz w:val="18"/>
              </w:rPr>
              <w:t>150 (1.8%)</w:t>
            </w:r>
          </w:p>
        </w:tc>
        <w:tc>
          <w:tcPr>
            <w:tcW w:w="1677" w:type="dxa"/>
            <w:tcBorders>
              <w:top w:val="single" w:sz="4" w:space="0" w:color="000000"/>
              <w:bottom w:val="single" w:sz="4" w:space="0" w:color="000000"/>
            </w:tcBorders>
          </w:tcPr>
          <w:p w:rsidR="005330BF" w:rsidRDefault="00136814">
            <w:pPr>
              <w:pStyle w:val="TableParagraph"/>
              <w:ind w:left="300"/>
              <w:rPr>
                <w:sz w:val="18"/>
              </w:rPr>
            </w:pPr>
            <w:r>
              <w:rPr>
                <w:sz w:val="18"/>
              </w:rPr>
              <w:t>6 (0.9%)</w:t>
            </w:r>
          </w:p>
        </w:tc>
        <w:tc>
          <w:tcPr>
            <w:tcW w:w="2044" w:type="dxa"/>
            <w:tcBorders>
              <w:top w:val="single" w:sz="4" w:space="0" w:color="000000"/>
              <w:bottom w:val="single" w:sz="4" w:space="0" w:color="000000"/>
            </w:tcBorders>
          </w:tcPr>
          <w:p w:rsidR="005330BF" w:rsidRDefault="00136814">
            <w:pPr>
              <w:pStyle w:val="TableParagraph"/>
              <w:ind w:left="419"/>
              <w:rPr>
                <w:sz w:val="18"/>
              </w:rPr>
            </w:pPr>
            <w:r>
              <w:rPr>
                <w:sz w:val="18"/>
              </w:rPr>
              <w:t>4 (0.9%)</w:t>
            </w:r>
          </w:p>
        </w:tc>
      </w:tr>
      <w:tr w:rsidR="005330BF">
        <w:trPr>
          <w:trHeight w:val="621"/>
        </w:trPr>
        <w:tc>
          <w:tcPr>
            <w:tcW w:w="8901" w:type="dxa"/>
            <w:gridSpan w:val="4"/>
            <w:tcBorders>
              <w:top w:val="single" w:sz="4" w:space="0" w:color="000000"/>
            </w:tcBorders>
          </w:tcPr>
          <w:p w:rsidR="005330BF" w:rsidRDefault="00136814">
            <w:pPr>
              <w:pStyle w:val="TableParagraph"/>
              <w:spacing w:before="60" w:line="280" w:lineRule="atLeast"/>
              <w:ind w:right="236"/>
              <w:rPr>
                <w:i/>
                <w:sz w:val="18"/>
              </w:rPr>
            </w:pPr>
            <w:r>
              <w:rPr>
                <w:i/>
                <w:sz w:val="18"/>
              </w:rPr>
              <w:t>All data is presented as Number (percentage). Respondents may report more than one health professional and thus column percentages will exceed 100% when summed.</w:t>
            </w:r>
          </w:p>
        </w:tc>
      </w:tr>
    </w:tbl>
    <w:p w:rsidR="005330BF" w:rsidRDefault="005330BF">
      <w:pPr>
        <w:pStyle w:val="BodyText"/>
        <w:spacing w:before="3"/>
        <w:ind w:left="0"/>
        <w:rPr>
          <w:sz w:val="24"/>
        </w:rPr>
      </w:pPr>
    </w:p>
    <w:p w:rsidR="005330BF" w:rsidRDefault="00136814">
      <w:pPr>
        <w:pStyle w:val="BodyText"/>
        <w:spacing w:before="61"/>
        <w:ind w:left="110"/>
      </w:pPr>
      <w:r>
        <w:t>Results demonstrate that:</w:t>
      </w:r>
    </w:p>
    <w:p w:rsidR="005330BF" w:rsidRDefault="00136814">
      <w:pPr>
        <w:pStyle w:val="ListParagraph"/>
        <w:numPr>
          <w:ilvl w:val="0"/>
          <w:numId w:val="2"/>
        </w:numPr>
        <w:tabs>
          <w:tab w:val="left" w:pos="470"/>
          <w:tab w:val="left" w:pos="471"/>
        </w:tabs>
        <w:spacing w:before="191" w:line="278" w:lineRule="auto"/>
        <w:ind w:right="1750"/>
      </w:pPr>
      <w:r>
        <w:t xml:space="preserve">People in all three groups were most likely to report visits to general practitioners, specialists and dentists. It is important to note that participants in the NHS were asked specifically about these three types of health </w:t>
      </w:r>
      <w:r>
        <w:rPr>
          <w:spacing w:val="-3"/>
        </w:rPr>
        <w:t xml:space="preserve">provider, </w:t>
      </w:r>
      <w:r>
        <w:t>but this was not the c</w:t>
      </w:r>
      <w:r>
        <w:t>ase for the other health provider</w:t>
      </w:r>
      <w:r>
        <w:rPr>
          <w:spacing w:val="-4"/>
        </w:rPr>
        <w:t xml:space="preserve"> </w:t>
      </w:r>
      <w:r>
        <w:t>categories.</w:t>
      </w:r>
    </w:p>
    <w:p w:rsidR="005330BF" w:rsidRDefault="00136814">
      <w:pPr>
        <w:pStyle w:val="ListParagraph"/>
        <w:numPr>
          <w:ilvl w:val="0"/>
          <w:numId w:val="2"/>
        </w:numPr>
        <w:tabs>
          <w:tab w:val="left" w:pos="470"/>
          <w:tab w:val="left" w:pos="471"/>
        </w:tabs>
        <w:spacing w:before="1" w:line="278" w:lineRule="auto"/>
        <w:ind w:right="1685"/>
      </w:pPr>
      <w:r>
        <w:t>A</w:t>
      </w:r>
      <w:r>
        <w:rPr>
          <w:spacing w:val="-15"/>
        </w:rPr>
        <w:t xml:space="preserve"> </w:t>
      </w:r>
      <w:r>
        <w:t>higher</w:t>
      </w:r>
      <w:r>
        <w:rPr>
          <w:spacing w:val="-5"/>
        </w:rPr>
        <w:t xml:space="preserve"> </w:t>
      </w:r>
      <w:r>
        <w:t>proportion</w:t>
      </w:r>
      <w:r>
        <w:rPr>
          <w:spacing w:val="-4"/>
        </w:rPr>
        <w:t xml:space="preserve"> </w:t>
      </w:r>
      <w:r>
        <w:t>of</w:t>
      </w:r>
      <w:r>
        <w:rPr>
          <w:spacing w:val="-5"/>
        </w:rPr>
        <w:t xml:space="preserve"> </w:t>
      </w:r>
      <w:r>
        <w:t>DSP</w:t>
      </w:r>
      <w:r>
        <w:rPr>
          <w:spacing w:val="-7"/>
        </w:rPr>
        <w:t xml:space="preserve"> </w:t>
      </w:r>
      <w:r>
        <w:t>recipients</w:t>
      </w:r>
      <w:r>
        <w:rPr>
          <w:spacing w:val="-3"/>
        </w:rPr>
        <w:t xml:space="preserve"> </w:t>
      </w:r>
      <w:r>
        <w:t>reported</w:t>
      </w:r>
      <w:r>
        <w:rPr>
          <w:spacing w:val="-4"/>
        </w:rPr>
        <w:t xml:space="preserve"> </w:t>
      </w:r>
      <w:r>
        <w:t>visits</w:t>
      </w:r>
      <w:r>
        <w:rPr>
          <w:spacing w:val="-3"/>
        </w:rPr>
        <w:t xml:space="preserve"> </w:t>
      </w:r>
      <w:r>
        <w:t>to</w:t>
      </w:r>
      <w:r>
        <w:rPr>
          <w:spacing w:val="-4"/>
        </w:rPr>
        <w:t xml:space="preserve"> </w:t>
      </w:r>
      <w:r>
        <w:t>all</w:t>
      </w:r>
      <w:r>
        <w:rPr>
          <w:spacing w:val="-4"/>
        </w:rPr>
        <w:t xml:space="preserve"> </w:t>
      </w:r>
      <w:r>
        <w:t>healthcare</w:t>
      </w:r>
      <w:r>
        <w:rPr>
          <w:spacing w:val="-5"/>
        </w:rPr>
        <w:t xml:space="preserve"> </w:t>
      </w:r>
      <w:r>
        <w:t>professionals</w:t>
      </w:r>
      <w:r>
        <w:rPr>
          <w:spacing w:val="-4"/>
        </w:rPr>
        <w:t xml:space="preserve"> </w:t>
      </w:r>
      <w:r>
        <w:t>with the exception of dentists, chiropractors, naturopaths, acupuncturists, and</w:t>
      </w:r>
      <w:r>
        <w:rPr>
          <w:spacing w:val="-42"/>
        </w:rPr>
        <w:t xml:space="preserve"> </w:t>
      </w:r>
      <w:r>
        <w:t>osteopaths.</w:t>
      </w:r>
    </w:p>
    <w:p w:rsidR="005330BF" w:rsidRDefault="00136814">
      <w:pPr>
        <w:pStyle w:val="ListParagraph"/>
        <w:numPr>
          <w:ilvl w:val="0"/>
          <w:numId w:val="2"/>
        </w:numPr>
        <w:tabs>
          <w:tab w:val="left" w:pos="470"/>
          <w:tab w:val="left" w:pos="471"/>
        </w:tabs>
        <w:spacing w:line="278" w:lineRule="auto"/>
        <w:ind w:right="2182"/>
      </w:pPr>
      <w:r>
        <w:t>Despite the high prevalence of m</w:t>
      </w:r>
      <w:r>
        <w:t>ental and behavioural problems reported by DSP recipients and reported in the prior section, only 18.8% reported having visited a psychologist in the past 12</w:t>
      </w:r>
      <w:r>
        <w:rPr>
          <w:spacing w:val="-5"/>
        </w:rPr>
        <w:t xml:space="preserve"> </w:t>
      </w:r>
      <w:r>
        <w:t>months.</w:t>
      </w:r>
    </w:p>
    <w:p w:rsidR="005330BF" w:rsidRDefault="00136814">
      <w:pPr>
        <w:pStyle w:val="ListParagraph"/>
        <w:numPr>
          <w:ilvl w:val="0"/>
          <w:numId w:val="2"/>
        </w:numPr>
        <w:tabs>
          <w:tab w:val="left" w:pos="470"/>
          <w:tab w:val="left" w:pos="471"/>
        </w:tabs>
        <w:spacing w:line="278" w:lineRule="auto"/>
        <w:ind w:right="1612"/>
      </w:pPr>
      <w:r>
        <w:t>The vast majority of people in all three groups reported visiting a general practitioner i</w:t>
      </w:r>
      <w:r>
        <w:t>n the preceding 12 months, with the proportion slightly higher in DSP recipients</w:t>
      </w:r>
      <w:r>
        <w:rPr>
          <w:spacing w:val="-44"/>
        </w:rPr>
        <w:t xml:space="preserve"> </w:t>
      </w:r>
      <w:r>
        <w:t>compared with both NSA and wage earner</w:t>
      </w:r>
      <w:r>
        <w:rPr>
          <w:spacing w:val="-19"/>
        </w:rPr>
        <w:t xml:space="preserve"> </w:t>
      </w:r>
      <w:r>
        <w:t>groups.</w:t>
      </w:r>
    </w:p>
    <w:p w:rsidR="005330BF" w:rsidRDefault="00136814">
      <w:pPr>
        <w:pStyle w:val="ListParagraph"/>
        <w:numPr>
          <w:ilvl w:val="0"/>
          <w:numId w:val="2"/>
        </w:numPr>
        <w:tabs>
          <w:tab w:val="left" w:pos="470"/>
          <w:tab w:val="left" w:pos="471"/>
        </w:tabs>
        <w:spacing w:line="278" w:lineRule="auto"/>
        <w:ind w:right="1728"/>
      </w:pPr>
      <w:r>
        <w:t>More than three in five (61.0%) DSP recipients reported visiting a specialist medical practitioner in the past twelve months com</w:t>
      </w:r>
      <w:r>
        <w:t>pared with around one third of wage earners (32.5%) and slightly more than one third of NSA recipients</w:t>
      </w:r>
      <w:r>
        <w:rPr>
          <w:spacing w:val="-17"/>
        </w:rPr>
        <w:t xml:space="preserve"> </w:t>
      </w:r>
      <w:r>
        <w:t>(38.7%).</w:t>
      </w:r>
    </w:p>
    <w:p w:rsidR="005330BF" w:rsidRDefault="00136814">
      <w:pPr>
        <w:pStyle w:val="BodyText"/>
        <w:spacing w:before="148" w:line="276" w:lineRule="auto"/>
        <w:ind w:left="110" w:right="1604"/>
      </w:pPr>
      <w:r>
        <w:t xml:space="preserve">The data in </w:t>
      </w:r>
      <w:hyperlink w:anchor="_bookmark30" w:history="1">
        <w:r>
          <w:rPr>
            <w:b/>
            <w:color w:val="25408F"/>
          </w:rPr>
          <w:t xml:space="preserve">Table 5 </w:t>
        </w:r>
      </w:hyperlink>
      <w:r>
        <w:t xml:space="preserve">is unadjusted. When adjusted for age and sex, the differences between groups in the rate of health service use becomes more apparent. </w:t>
      </w:r>
      <w:hyperlink w:anchor="_bookmark32" w:history="1">
        <w:r>
          <w:rPr>
            <w:b/>
            <w:color w:val="25408F"/>
          </w:rPr>
          <w:t xml:space="preserve">Figure </w:t>
        </w:r>
      </w:hyperlink>
      <w:r>
        <w:rPr>
          <w:b/>
          <w:color w:val="25408F"/>
        </w:rPr>
        <w:t xml:space="preserve">7 </w:t>
      </w:r>
      <w:r>
        <w:t>presents age and sex adjusted risk ratios (RRs) of having visited each of the 22 h</w:t>
      </w:r>
      <w:r>
        <w:t>ealth professionals for the DSP group compared to the Wage Earners group.</w:t>
      </w:r>
    </w:p>
    <w:p w:rsidR="005330BF" w:rsidRDefault="005330BF">
      <w:pPr>
        <w:pStyle w:val="BodyText"/>
        <w:spacing w:before="11"/>
        <w:ind w:left="0"/>
        <w:rPr>
          <w:sz w:val="25"/>
        </w:rPr>
      </w:pPr>
    </w:p>
    <w:p w:rsidR="005330BF" w:rsidRDefault="00136814">
      <w:pPr>
        <w:pStyle w:val="BodyText"/>
        <w:ind w:left="110"/>
      </w:pPr>
      <w:r>
        <w:t>These results indicate that:</w:t>
      </w:r>
    </w:p>
    <w:p w:rsidR="005330BF" w:rsidRDefault="00136814">
      <w:pPr>
        <w:pStyle w:val="ListParagraph"/>
        <w:numPr>
          <w:ilvl w:val="0"/>
          <w:numId w:val="2"/>
        </w:numPr>
        <w:tabs>
          <w:tab w:val="left" w:pos="471"/>
        </w:tabs>
        <w:spacing w:before="191" w:line="278" w:lineRule="auto"/>
        <w:ind w:right="1732"/>
        <w:jc w:val="both"/>
      </w:pPr>
      <w:r>
        <w:t>DSP recipients were significantly more likely than wage earners to have seen 15 of the 22 health professionals in the past 12 months and significantly less likely to have seen 3 of the 22 health</w:t>
      </w:r>
      <w:r>
        <w:rPr>
          <w:spacing w:val="-6"/>
        </w:rPr>
        <w:t xml:space="preserve"> </w:t>
      </w:r>
      <w:r>
        <w:t>professionals.</w:t>
      </w:r>
    </w:p>
    <w:p w:rsidR="005330BF" w:rsidRDefault="00136814">
      <w:pPr>
        <w:pStyle w:val="ListParagraph"/>
        <w:numPr>
          <w:ilvl w:val="0"/>
          <w:numId w:val="2"/>
        </w:numPr>
        <w:tabs>
          <w:tab w:val="left" w:pos="470"/>
          <w:tab w:val="left" w:pos="471"/>
        </w:tabs>
        <w:spacing w:line="278" w:lineRule="auto"/>
        <w:ind w:right="1659"/>
      </w:pPr>
      <w:r>
        <w:t>The greatest difference between groups was obs</w:t>
      </w:r>
      <w:r>
        <w:t>erved for social worker/welfare officer where the DSP group were at more than 16 times greater risk of visiting a social worker in the past 12 months than wage</w:t>
      </w:r>
      <w:r>
        <w:rPr>
          <w:spacing w:val="-6"/>
        </w:rPr>
        <w:t xml:space="preserve"> </w:t>
      </w:r>
      <w:r>
        <w:t>earners.</w:t>
      </w:r>
    </w:p>
    <w:p w:rsidR="005330BF" w:rsidRDefault="00136814">
      <w:pPr>
        <w:pStyle w:val="ListParagraph"/>
        <w:numPr>
          <w:ilvl w:val="0"/>
          <w:numId w:val="2"/>
        </w:numPr>
        <w:tabs>
          <w:tab w:val="left" w:pos="470"/>
          <w:tab w:val="left" w:pos="471"/>
        </w:tabs>
        <w:spacing w:before="1" w:line="278" w:lineRule="auto"/>
        <w:ind w:right="2194"/>
      </w:pPr>
      <w:r>
        <w:t xml:space="preserve">DSP recipients were at 4 or more times the risk of visiting a diabetes </w:t>
      </w:r>
      <w:r>
        <w:rPr>
          <w:spacing w:val="-3"/>
        </w:rPr>
        <w:t xml:space="preserve">educator, </w:t>
      </w:r>
      <w:r>
        <w:t>psycho</w:t>
      </w:r>
      <w:r>
        <w:t>logist, dietitian/nutritionist, nurse, occupational therapist, or counsellor than wage</w:t>
      </w:r>
      <w:r>
        <w:rPr>
          <w:spacing w:val="-2"/>
        </w:rPr>
        <w:t xml:space="preserve"> </w:t>
      </w:r>
      <w:r>
        <w:t>earners.</w:t>
      </w:r>
    </w:p>
    <w:p w:rsidR="005330BF" w:rsidRDefault="00136814">
      <w:pPr>
        <w:pStyle w:val="ListParagraph"/>
        <w:numPr>
          <w:ilvl w:val="0"/>
          <w:numId w:val="2"/>
        </w:numPr>
        <w:tabs>
          <w:tab w:val="left" w:pos="470"/>
          <w:tab w:val="left" w:pos="471"/>
        </w:tabs>
        <w:spacing w:line="278" w:lineRule="auto"/>
        <w:ind w:right="1781"/>
      </w:pPr>
      <w:r>
        <w:t>DSP recipients were at significantly lower risk of visiting a dentist, a chiropractor, or</w:t>
      </w:r>
      <w:r>
        <w:rPr>
          <w:spacing w:val="-44"/>
        </w:rPr>
        <w:t xml:space="preserve"> </w:t>
      </w:r>
      <w:r>
        <w:t>an osteopath in the preceding 12 months than wage</w:t>
      </w:r>
      <w:r>
        <w:rPr>
          <w:spacing w:val="-10"/>
        </w:rPr>
        <w:t xml:space="preserve"> </w:t>
      </w:r>
      <w:r>
        <w:t>earners.</w:t>
      </w:r>
    </w:p>
    <w:p w:rsidR="005330BF" w:rsidRDefault="005330BF">
      <w:pPr>
        <w:spacing w:line="278" w:lineRule="auto"/>
        <w:sectPr w:rsidR="005330BF">
          <w:pgSz w:w="11910" w:h="16840"/>
          <w:pgMar w:top="1280" w:right="540" w:bottom="560" w:left="740" w:header="0" w:footer="290" w:gutter="0"/>
          <w:cols w:space="720"/>
        </w:sectPr>
      </w:pPr>
    </w:p>
    <w:p w:rsidR="005330BF" w:rsidRDefault="00136814">
      <w:pPr>
        <w:spacing w:before="38" w:line="268" w:lineRule="auto"/>
        <w:ind w:left="110" w:right="3338"/>
        <w:rPr>
          <w:b/>
          <w:sz w:val="18"/>
        </w:rPr>
      </w:pPr>
      <w:bookmarkStart w:id="57" w:name="_bookmark32"/>
      <w:bookmarkStart w:id="58" w:name="Figure_7._Age_and_sex_adjusted_risk_rati"/>
      <w:bookmarkStart w:id="59" w:name="_bookmark31"/>
      <w:bookmarkEnd w:id="57"/>
      <w:bookmarkEnd w:id="58"/>
      <w:bookmarkEnd w:id="59"/>
      <w:r>
        <w:rPr>
          <w:b/>
          <w:color w:val="25408F"/>
          <w:sz w:val="18"/>
        </w:rPr>
        <w:t>Figure 7. Age and sex adjusted risk ratios for having visited a health professional at least once in past 12 months for DSP recipients compared to wage earners</w:t>
      </w:r>
    </w:p>
    <w:p w:rsidR="005330BF" w:rsidRDefault="00136814">
      <w:pPr>
        <w:pStyle w:val="BodyText"/>
        <w:spacing w:before="8"/>
        <w:ind w:left="0"/>
        <w:rPr>
          <w:b/>
          <w:sz w:val="29"/>
        </w:rPr>
      </w:pPr>
      <w:r>
        <w:rPr>
          <w:noProof/>
        </w:rPr>
        <w:drawing>
          <wp:anchor distT="0" distB="0" distL="0" distR="0" simplePos="0" relativeHeight="251652096" behindDoc="0" locked="0" layoutInCell="1" allowOverlap="1">
            <wp:simplePos x="0" y="0"/>
            <wp:positionH relativeFrom="page">
              <wp:posOffset>689544</wp:posOffset>
            </wp:positionH>
            <wp:positionV relativeFrom="paragraph">
              <wp:posOffset>249459</wp:posOffset>
            </wp:positionV>
            <wp:extent cx="5342192" cy="3840479"/>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342192" cy="3840479"/>
                    </a:xfrm>
                    <a:prstGeom prst="rect">
                      <a:avLst/>
                    </a:prstGeom>
                  </pic:spPr>
                </pic:pic>
              </a:graphicData>
            </a:graphic>
          </wp:anchor>
        </w:drawing>
      </w:r>
    </w:p>
    <w:p w:rsidR="005330BF" w:rsidRDefault="005330BF">
      <w:pPr>
        <w:pStyle w:val="BodyText"/>
        <w:ind w:left="0"/>
        <w:rPr>
          <w:b/>
          <w:sz w:val="20"/>
        </w:rPr>
      </w:pPr>
    </w:p>
    <w:p w:rsidR="005330BF" w:rsidRDefault="005330BF">
      <w:pPr>
        <w:pStyle w:val="BodyText"/>
        <w:ind w:left="0"/>
        <w:rPr>
          <w:b/>
          <w:sz w:val="20"/>
        </w:rPr>
      </w:pPr>
    </w:p>
    <w:p w:rsidR="005330BF" w:rsidRDefault="005330BF">
      <w:pPr>
        <w:pStyle w:val="BodyText"/>
        <w:spacing w:before="8"/>
        <w:ind w:left="0"/>
        <w:rPr>
          <w:b/>
          <w:sz w:val="16"/>
        </w:rPr>
      </w:pPr>
    </w:p>
    <w:p w:rsidR="005330BF" w:rsidRDefault="00136814">
      <w:pPr>
        <w:pStyle w:val="BodyText"/>
        <w:spacing w:before="1" w:line="276" w:lineRule="auto"/>
        <w:ind w:left="110" w:right="1628"/>
      </w:pPr>
      <w:r>
        <w:t>The same analysis was undertaken comparing the NSA group to wage earners</w:t>
      </w:r>
      <w:r>
        <w:t xml:space="preserve"> </w:t>
      </w:r>
      <w:hyperlink w:anchor="_bookmark34" w:history="1">
        <w:r>
          <w:rPr>
            <w:b/>
            <w:color w:val="25408F"/>
          </w:rPr>
          <w:t>Figure 8</w:t>
        </w:r>
      </w:hyperlink>
      <w:r>
        <w:t>. This analysis demonstrates that:</w:t>
      </w:r>
    </w:p>
    <w:p w:rsidR="005330BF" w:rsidRDefault="00136814">
      <w:pPr>
        <w:pStyle w:val="ListParagraph"/>
        <w:numPr>
          <w:ilvl w:val="0"/>
          <w:numId w:val="2"/>
        </w:numPr>
        <w:tabs>
          <w:tab w:val="left" w:pos="470"/>
          <w:tab w:val="left" w:pos="471"/>
        </w:tabs>
        <w:spacing w:before="153" w:line="278" w:lineRule="auto"/>
        <w:ind w:right="2281"/>
      </w:pPr>
      <w:r>
        <w:t>NSA recipients were significantly more likely to have seen 5 types of health professionals – social workers, psychologists, counsellors, nurses, and</w:t>
      </w:r>
      <w:r>
        <w:rPr>
          <w:spacing w:val="-43"/>
        </w:rPr>
        <w:t xml:space="preserve"> </w:t>
      </w:r>
      <w:r>
        <w:t>chemists.</w:t>
      </w:r>
    </w:p>
    <w:p w:rsidR="005330BF" w:rsidRDefault="00136814">
      <w:pPr>
        <w:pStyle w:val="ListParagraph"/>
        <w:numPr>
          <w:ilvl w:val="0"/>
          <w:numId w:val="2"/>
        </w:numPr>
        <w:tabs>
          <w:tab w:val="left" w:pos="470"/>
          <w:tab w:val="left" w:pos="471"/>
        </w:tabs>
        <w:spacing w:line="278" w:lineRule="auto"/>
        <w:ind w:right="2028"/>
      </w:pPr>
      <w:r>
        <w:t>Similar to the finding in DSP recipients, the greatest difference between groups</w:t>
      </w:r>
      <w:r>
        <w:rPr>
          <w:spacing w:val="-37"/>
        </w:rPr>
        <w:t xml:space="preserve"> </w:t>
      </w:r>
      <w:r>
        <w:t>was observed</w:t>
      </w:r>
      <w:r>
        <w:rPr>
          <w:spacing w:val="-4"/>
        </w:rPr>
        <w:t xml:space="preserve"> </w:t>
      </w:r>
      <w:r>
        <w:t>for</w:t>
      </w:r>
      <w:r>
        <w:rPr>
          <w:spacing w:val="-3"/>
        </w:rPr>
        <w:t xml:space="preserve"> </w:t>
      </w:r>
      <w:r>
        <w:t>social</w:t>
      </w:r>
      <w:r>
        <w:rPr>
          <w:spacing w:val="-3"/>
        </w:rPr>
        <w:t xml:space="preserve"> </w:t>
      </w:r>
      <w:r>
        <w:t>worker/welfare</w:t>
      </w:r>
      <w:r>
        <w:rPr>
          <w:spacing w:val="-3"/>
        </w:rPr>
        <w:t xml:space="preserve"> </w:t>
      </w:r>
      <w:r>
        <w:t>officer</w:t>
      </w:r>
      <w:r>
        <w:rPr>
          <w:spacing w:val="-4"/>
        </w:rPr>
        <w:t xml:space="preserve"> </w:t>
      </w:r>
      <w:r>
        <w:t>where</w:t>
      </w:r>
      <w:r>
        <w:rPr>
          <w:spacing w:val="-3"/>
        </w:rPr>
        <w:t xml:space="preserve"> </w:t>
      </w:r>
      <w:r>
        <w:t>the</w:t>
      </w:r>
      <w:r>
        <w:rPr>
          <w:spacing w:val="-3"/>
        </w:rPr>
        <w:t xml:space="preserve"> </w:t>
      </w:r>
      <w:r>
        <w:t>NSA</w:t>
      </w:r>
      <w:r>
        <w:rPr>
          <w:spacing w:val="-14"/>
        </w:rPr>
        <w:t xml:space="preserve"> </w:t>
      </w:r>
      <w:r>
        <w:t>group</w:t>
      </w:r>
      <w:r>
        <w:rPr>
          <w:spacing w:val="-4"/>
        </w:rPr>
        <w:t xml:space="preserve"> </w:t>
      </w:r>
      <w:r>
        <w:t>were</w:t>
      </w:r>
      <w:r>
        <w:rPr>
          <w:spacing w:val="-4"/>
        </w:rPr>
        <w:t xml:space="preserve"> </w:t>
      </w:r>
      <w:r>
        <w:t>at</w:t>
      </w:r>
      <w:r>
        <w:rPr>
          <w:spacing w:val="-3"/>
        </w:rPr>
        <w:t xml:space="preserve"> </w:t>
      </w:r>
      <w:r>
        <w:t>more</w:t>
      </w:r>
      <w:r>
        <w:rPr>
          <w:spacing w:val="-3"/>
        </w:rPr>
        <w:t xml:space="preserve"> </w:t>
      </w:r>
      <w:r>
        <w:t>than</w:t>
      </w:r>
    </w:p>
    <w:p w:rsidR="005330BF" w:rsidRDefault="00136814">
      <w:pPr>
        <w:pStyle w:val="BodyText"/>
        <w:ind w:left="470"/>
      </w:pPr>
      <w:r>
        <w:t>8 times greater risk of visiting a social worker in the past 12 months than wage earners.</w:t>
      </w:r>
    </w:p>
    <w:p w:rsidR="005330BF" w:rsidRDefault="00136814">
      <w:pPr>
        <w:pStyle w:val="ListParagraph"/>
        <w:numPr>
          <w:ilvl w:val="0"/>
          <w:numId w:val="2"/>
        </w:numPr>
        <w:tabs>
          <w:tab w:val="left" w:pos="470"/>
          <w:tab w:val="left" w:pos="471"/>
        </w:tabs>
        <w:spacing w:before="42" w:line="278" w:lineRule="auto"/>
        <w:ind w:right="2046"/>
      </w:pPr>
      <w:r>
        <w:t>NSA</w:t>
      </w:r>
      <w:r>
        <w:rPr>
          <w:spacing w:val="-14"/>
        </w:rPr>
        <w:t xml:space="preserve"> </w:t>
      </w:r>
      <w:r>
        <w:t>recipients</w:t>
      </w:r>
      <w:r>
        <w:rPr>
          <w:spacing w:val="-3"/>
        </w:rPr>
        <w:t xml:space="preserve"> </w:t>
      </w:r>
      <w:r>
        <w:t>were</w:t>
      </w:r>
      <w:r>
        <w:rPr>
          <w:spacing w:val="-3"/>
        </w:rPr>
        <w:t xml:space="preserve"> </w:t>
      </w:r>
      <w:r>
        <w:t>at</w:t>
      </w:r>
      <w:r>
        <w:rPr>
          <w:spacing w:val="-4"/>
        </w:rPr>
        <w:t xml:space="preserve"> </w:t>
      </w:r>
      <w:r>
        <w:t>significantly</w:t>
      </w:r>
      <w:r>
        <w:rPr>
          <w:spacing w:val="-2"/>
        </w:rPr>
        <w:t xml:space="preserve"> </w:t>
      </w:r>
      <w:r>
        <w:t>lower</w:t>
      </w:r>
      <w:r>
        <w:rPr>
          <w:spacing w:val="-3"/>
        </w:rPr>
        <w:t xml:space="preserve"> </w:t>
      </w:r>
      <w:r>
        <w:t>risk</w:t>
      </w:r>
      <w:r>
        <w:rPr>
          <w:spacing w:val="-3"/>
        </w:rPr>
        <w:t xml:space="preserve"> </w:t>
      </w:r>
      <w:r>
        <w:t>of</w:t>
      </w:r>
      <w:r>
        <w:rPr>
          <w:spacing w:val="-3"/>
        </w:rPr>
        <w:t xml:space="preserve"> </w:t>
      </w:r>
      <w:r>
        <w:t>visiting</w:t>
      </w:r>
      <w:r>
        <w:rPr>
          <w:spacing w:val="-3"/>
        </w:rPr>
        <w:t xml:space="preserve"> </w:t>
      </w:r>
      <w:r>
        <w:t>a</w:t>
      </w:r>
      <w:r>
        <w:rPr>
          <w:spacing w:val="-3"/>
        </w:rPr>
        <w:t xml:space="preserve"> </w:t>
      </w:r>
      <w:r>
        <w:t>dentist,</w:t>
      </w:r>
      <w:r>
        <w:rPr>
          <w:spacing w:val="-3"/>
        </w:rPr>
        <w:t xml:space="preserve"> </w:t>
      </w:r>
      <w:r>
        <w:t>a</w:t>
      </w:r>
      <w:r>
        <w:rPr>
          <w:spacing w:val="-4"/>
        </w:rPr>
        <w:t xml:space="preserve"> </w:t>
      </w:r>
      <w:r>
        <w:t>chiropractor,</w:t>
      </w:r>
      <w:r>
        <w:rPr>
          <w:spacing w:val="-2"/>
        </w:rPr>
        <w:t xml:space="preserve"> </w:t>
      </w:r>
      <w:r>
        <w:t>an osteopath, or a physiotherapist in the preceding 12 months than wage</w:t>
      </w:r>
      <w:r>
        <w:rPr>
          <w:spacing w:val="-34"/>
        </w:rPr>
        <w:t xml:space="preserve"> </w:t>
      </w:r>
      <w:r>
        <w:t>earners.</w:t>
      </w:r>
    </w:p>
    <w:p w:rsidR="005330BF" w:rsidRDefault="005330BF">
      <w:pPr>
        <w:spacing w:line="278" w:lineRule="auto"/>
        <w:sectPr w:rsidR="005330BF">
          <w:pgSz w:w="11910" w:h="16840"/>
          <w:pgMar w:top="1040" w:right="540" w:bottom="560" w:left="740" w:header="0" w:footer="290" w:gutter="0"/>
          <w:cols w:space="720"/>
        </w:sectPr>
      </w:pPr>
    </w:p>
    <w:p w:rsidR="005330BF" w:rsidRDefault="00136814">
      <w:pPr>
        <w:spacing w:before="38" w:line="268" w:lineRule="auto"/>
        <w:ind w:left="110" w:right="1527"/>
        <w:rPr>
          <w:b/>
          <w:sz w:val="18"/>
        </w:rPr>
      </w:pPr>
      <w:bookmarkStart w:id="60" w:name="_bookmark34"/>
      <w:bookmarkStart w:id="61" w:name="Figure_8._Age_and_sex_adjusted_risk_rati"/>
      <w:bookmarkStart w:id="62" w:name="Table_6._Number_and_percentage_of_indivi"/>
      <w:bookmarkStart w:id="63" w:name="_bookmark33"/>
      <w:bookmarkEnd w:id="60"/>
      <w:bookmarkEnd w:id="61"/>
      <w:bookmarkEnd w:id="62"/>
      <w:bookmarkEnd w:id="63"/>
      <w:r>
        <w:rPr>
          <w:b/>
          <w:color w:val="25408F"/>
          <w:sz w:val="18"/>
        </w:rPr>
        <w:t>Figure 8. Age and sex adjusted risk ratios for having visited a health</w:t>
      </w:r>
      <w:r>
        <w:rPr>
          <w:b/>
          <w:color w:val="25408F"/>
          <w:sz w:val="18"/>
        </w:rPr>
        <w:t xml:space="preserve"> professional at least once in past 12 months for NSA recipients compared to wage earners</w:t>
      </w:r>
    </w:p>
    <w:p w:rsidR="005330BF" w:rsidRDefault="005330BF">
      <w:pPr>
        <w:pStyle w:val="BodyText"/>
        <w:ind w:left="0"/>
        <w:rPr>
          <w:b/>
          <w:sz w:val="20"/>
        </w:rPr>
      </w:pPr>
    </w:p>
    <w:p w:rsidR="005330BF" w:rsidRDefault="00136814">
      <w:pPr>
        <w:pStyle w:val="BodyText"/>
        <w:spacing w:before="8"/>
        <w:ind w:left="0"/>
        <w:rPr>
          <w:b/>
          <w:sz w:val="11"/>
        </w:rPr>
      </w:pPr>
      <w:r>
        <w:rPr>
          <w:noProof/>
        </w:rPr>
        <w:drawing>
          <wp:anchor distT="0" distB="0" distL="0" distR="0" simplePos="0" relativeHeight="251653120" behindDoc="0" locked="0" layoutInCell="1" allowOverlap="1">
            <wp:simplePos x="0" y="0"/>
            <wp:positionH relativeFrom="page">
              <wp:posOffset>589401</wp:posOffset>
            </wp:positionH>
            <wp:positionV relativeFrom="paragraph">
              <wp:posOffset>113553</wp:posOffset>
            </wp:positionV>
            <wp:extent cx="5765655" cy="415432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765655" cy="4154328"/>
                    </a:xfrm>
                    <a:prstGeom prst="rect">
                      <a:avLst/>
                    </a:prstGeom>
                  </pic:spPr>
                </pic:pic>
              </a:graphicData>
            </a:graphic>
          </wp:anchor>
        </w:drawing>
      </w:r>
    </w:p>
    <w:p w:rsidR="005330BF" w:rsidRDefault="005330BF">
      <w:pPr>
        <w:pStyle w:val="BodyText"/>
        <w:spacing w:before="11"/>
        <w:ind w:left="0"/>
        <w:rPr>
          <w:b/>
          <w:sz w:val="20"/>
        </w:rPr>
      </w:pPr>
    </w:p>
    <w:p w:rsidR="005330BF" w:rsidRDefault="00136814">
      <w:pPr>
        <w:pStyle w:val="Heading3"/>
        <w:spacing w:before="58"/>
        <w:ind w:left="110"/>
      </w:pPr>
      <w:r>
        <w:rPr>
          <w:color w:val="58595B"/>
        </w:rPr>
        <w:t>Visits to a Hospital</w:t>
      </w:r>
    </w:p>
    <w:p w:rsidR="005330BF" w:rsidRDefault="00136814">
      <w:pPr>
        <w:pStyle w:val="BodyText"/>
        <w:spacing w:before="190" w:line="278" w:lineRule="auto"/>
        <w:ind w:left="110" w:right="1225"/>
      </w:pPr>
      <w:r>
        <w:t>We also examined the prevalence of self-reported visits to a hospital or health centre and compared this between groups. The NHS collects inf</w:t>
      </w:r>
      <w:r>
        <w:t>ormation on admission as a hospital inpatient, visits to emergency, outpatient clinic or a day clinic in the preceding 12 month period.</w:t>
      </w:r>
    </w:p>
    <w:p w:rsidR="005330BF" w:rsidRDefault="00136814">
      <w:pPr>
        <w:pStyle w:val="BodyText"/>
        <w:spacing w:before="150" w:line="276" w:lineRule="auto"/>
        <w:ind w:left="110" w:right="1689"/>
        <w:jc w:val="both"/>
      </w:pPr>
      <w:r>
        <w:t xml:space="preserve">The DSP group had the highest proportion of people reporting hospital visits across all four categories </w:t>
      </w:r>
      <w:hyperlink w:anchor="_bookmark34" w:history="1">
        <w:r>
          <w:rPr>
            <w:b/>
            <w:color w:val="25408F"/>
          </w:rPr>
          <w:t>Table 6</w:t>
        </w:r>
      </w:hyperlink>
      <w:r>
        <w:t>. In contrast wage earners had the lowest proportion of people reporting hospital visits across all categories.</w:t>
      </w:r>
    </w:p>
    <w:p w:rsidR="005330BF" w:rsidRDefault="00136814">
      <w:pPr>
        <w:pStyle w:val="BodyText"/>
        <w:spacing w:before="154" w:line="278" w:lineRule="auto"/>
        <w:ind w:left="110" w:right="1401"/>
      </w:pPr>
      <w:r>
        <w:t>Notably, more than one quarter (25.7%) of DSP recipients reported being admitted as a hospital inpatient in the previous 12 months and nearly one-quarter (23.3%) reported a visit to an emergency department.</w:t>
      </w:r>
    </w:p>
    <w:p w:rsidR="005330BF" w:rsidRDefault="005330BF">
      <w:pPr>
        <w:pStyle w:val="BodyText"/>
        <w:ind w:left="0"/>
        <w:rPr>
          <w:sz w:val="20"/>
        </w:rPr>
      </w:pPr>
    </w:p>
    <w:p w:rsidR="005330BF" w:rsidRDefault="005330BF">
      <w:pPr>
        <w:pStyle w:val="BodyText"/>
        <w:spacing w:before="5"/>
        <w:ind w:left="0"/>
        <w:rPr>
          <w:sz w:val="13"/>
        </w:rPr>
      </w:pPr>
    </w:p>
    <w:tbl>
      <w:tblPr>
        <w:tblW w:w="0" w:type="auto"/>
        <w:tblInd w:w="117" w:type="dxa"/>
        <w:tblLayout w:type="fixed"/>
        <w:tblCellMar>
          <w:left w:w="0" w:type="dxa"/>
          <w:right w:w="0" w:type="dxa"/>
        </w:tblCellMar>
        <w:tblLook w:val="01E0" w:firstRow="1" w:lastRow="1" w:firstColumn="1" w:lastColumn="1" w:noHBand="0" w:noVBand="0"/>
      </w:tblPr>
      <w:tblGrid>
        <w:gridCol w:w="2113"/>
        <w:gridCol w:w="2287"/>
        <w:gridCol w:w="1824"/>
        <w:gridCol w:w="2678"/>
      </w:tblGrid>
      <w:tr w:rsidR="005330BF">
        <w:trPr>
          <w:trHeight w:val="583"/>
        </w:trPr>
        <w:tc>
          <w:tcPr>
            <w:tcW w:w="8902" w:type="dxa"/>
            <w:gridSpan w:val="4"/>
            <w:tcBorders>
              <w:bottom w:val="single" w:sz="4" w:space="0" w:color="000000"/>
            </w:tcBorders>
          </w:tcPr>
          <w:p w:rsidR="005330BF" w:rsidRDefault="00136814">
            <w:pPr>
              <w:pStyle w:val="TableParagraph"/>
              <w:spacing w:before="0" w:line="180" w:lineRule="exact"/>
              <w:rPr>
                <w:b/>
                <w:sz w:val="18"/>
              </w:rPr>
            </w:pPr>
            <w:r>
              <w:rPr>
                <w:b/>
                <w:color w:val="25408F"/>
                <w:sz w:val="18"/>
              </w:rPr>
              <w:t>TABLE 6. NUMBER AND PERCENTAGE OF INDIVIDUALS I</w:t>
            </w:r>
            <w:r>
              <w:rPr>
                <w:b/>
                <w:color w:val="25408F"/>
                <w:sz w:val="18"/>
              </w:rPr>
              <w:t>N EACH GROUP WHO VISITED A</w:t>
            </w:r>
          </w:p>
          <w:p w:rsidR="005330BF" w:rsidRDefault="00136814">
            <w:pPr>
              <w:pStyle w:val="TableParagraph"/>
              <w:spacing w:before="65"/>
              <w:rPr>
                <w:b/>
                <w:sz w:val="18"/>
              </w:rPr>
            </w:pPr>
            <w:r>
              <w:rPr>
                <w:b/>
                <w:color w:val="25408F"/>
                <w:sz w:val="18"/>
              </w:rPr>
              <w:t>HOSPITAL OR HEALTH CENTRE IN THE PREVIOUS 12 MONTHS</w:t>
            </w:r>
          </w:p>
        </w:tc>
      </w:tr>
      <w:tr w:rsidR="005330BF">
        <w:trPr>
          <w:trHeight w:val="465"/>
        </w:trPr>
        <w:tc>
          <w:tcPr>
            <w:tcW w:w="2113"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Health Centre</w:t>
            </w:r>
          </w:p>
        </w:tc>
        <w:tc>
          <w:tcPr>
            <w:tcW w:w="2287" w:type="dxa"/>
            <w:tcBorders>
              <w:top w:val="single" w:sz="4" w:space="0" w:color="000000"/>
              <w:bottom w:val="single" w:sz="4" w:space="0" w:color="000000"/>
            </w:tcBorders>
          </w:tcPr>
          <w:p w:rsidR="005330BF" w:rsidRDefault="00136814">
            <w:pPr>
              <w:pStyle w:val="TableParagraph"/>
              <w:spacing w:before="127"/>
              <w:ind w:left="282"/>
              <w:rPr>
                <w:b/>
                <w:sz w:val="18"/>
              </w:rPr>
            </w:pPr>
            <w:r>
              <w:rPr>
                <w:b/>
                <w:color w:val="25408F"/>
                <w:sz w:val="18"/>
              </w:rPr>
              <w:t>Wage Earners Group</w:t>
            </w:r>
          </w:p>
        </w:tc>
        <w:tc>
          <w:tcPr>
            <w:tcW w:w="1824" w:type="dxa"/>
            <w:tcBorders>
              <w:top w:val="single" w:sz="4" w:space="0" w:color="000000"/>
              <w:bottom w:val="single" w:sz="4" w:space="0" w:color="000000"/>
            </w:tcBorders>
          </w:tcPr>
          <w:p w:rsidR="005330BF" w:rsidRDefault="00136814">
            <w:pPr>
              <w:pStyle w:val="TableParagraph"/>
              <w:spacing w:before="127"/>
              <w:ind w:left="220"/>
              <w:rPr>
                <w:b/>
                <w:sz w:val="18"/>
              </w:rPr>
            </w:pPr>
            <w:r>
              <w:rPr>
                <w:b/>
                <w:color w:val="25408F"/>
                <w:sz w:val="18"/>
              </w:rPr>
              <w:t>DSP Group</w:t>
            </w:r>
          </w:p>
        </w:tc>
        <w:tc>
          <w:tcPr>
            <w:tcW w:w="2678" w:type="dxa"/>
            <w:tcBorders>
              <w:top w:val="single" w:sz="4" w:space="0" w:color="000000"/>
              <w:bottom w:val="single" w:sz="4" w:space="0" w:color="000000"/>
            </w:tcBorders>
          </w:tcPr>
          <w:p w:rsidR="005330BF" w:rsidRDefault="00136814">
            <w:pPr>
              <w:pStyle w:val="TableParagraph"/>
              <w:spacing w:before="127"/>
              <w:ind w:left="622"/>
              <w:rPr>
                <w:b/>
                <w:sz w:val="18"/>
              </w:rPr>
            </w:pPr>
            <w:r>
              <w:rPr>
                <w:b/>
                <w:color w:val="25408F"/>
                <w:sz w:val="18"/>
              </w:rPr>
              <w:t>NSA Group</w:t>
            </w:r>
          </w:p>
        </w:tc>
      </w:tr>
      <w:tr w:rsidR="005330BF">
        <w:trPr>
          <w:trHeight w:val="465"/>
        </w:trPr>
        <w:tc>
          <w:tcPr>
            <w:tcW w:w="2113" w:type="dxa"/>
            <w:tcBorders>
              <w:top w:val="single" w:sz="4" w:space="0" w:color="000000"/>
              <w:bottom w:val="single" w:sz="4" w:space="0" w:color="000000"/>
            </w:tcBorders>
          </w:tcPr>
          <w:p w:rsidR="005330BF" w:rsidRDefault="00136814">
            <w:pPr>
              <w:pStyle w:val="TableParagraph"/>
              <w:rPr>
                <w:sz w:val="18"/>
              </w:rPr>
            </w:pPr>
            <w:r>
              <w:rPr>
                <w:sz w:val="18"/>
              </w:rPr>
              <w:t>Hospital Inpatient</w:t>
            </w:r>
          </w:p>
        </w:tc>
        <w:tc>
          <w:tcPr>
            <w:tcW w:w="2287" w:type="dxa"/>
            <w:tcBorders>
              <w:top w:val="single" w:sz="4" w:space="0" w:color="000000"/>
              <w:bottom w:val="single" w:sz="4" w:space="0" w:color="000000"/>
            </w:tcBorders>
          </w:tcPr>
          <w:p w:rsidR="005330BF" w:rsidRDefault="00136814">
            <w:pPr>
              <w:pStyle w:val="TableParagraph"/>
              <w:ind w:left="282"/>
              <w:rPr>
                <w:sz w:val="18"/>
              </w:rPr>
            </w:pPr>
            <w:r>
              <w:rPr>
                <w:sz w:val="18"/>
              </w:rPr>
              <w:t>826 (9.8%)</w:t>
            </w:r>
          </w:p>
        </w:tc>
        <w:tc>
          <w:tcPr>
            <w:tcW w:w="1824" w:type="dxa"/>
            <w:tcBorders>
              <w:top w:val="single" w:sz="4" w:space="0" w:color="000000"/>
              <w:bottom w:val="single" w:sz="4" w:space="0" w:color="000000"/>
            </w:tcBorders>
          </w:tcPr>
          <w:p w:rsidR="005330BF" w:rsidRDefault="00136814">
            <w:pPr>
              <w:pStyle w:val="TableParagraph"/>
              <w:ind w:left="220"/>
              <w:rPr>
                <w:sz w:val="18"/>
              </w:rPr>
            </w:pPr>
            <w:r>
              <w:rPr>
                <w:sz w:val="18"/>
              </w:rPr>
              <w:t>164 (25.7%)</w:t>
            </w:r>
          </w:p>
        </w:tc>
        <w:tc>
          <w:tcPr>
            <w:tcW w:w="2678" w:type="dxa"/>
            <w:tcBorders>
              <w:top w:val="single" w:sz="4" w:space="0" w:color="000000"/>
              <w:bottom w:val="single" w:sz="4" w:space="0" w:color="000000"/>
            </w:tcBorders>
          </w:tcPr>
          <w:p w:rsidR="005330BF" w:rsidRDefault="00136814">
            <w:pPr>
              <w:pStyle w:val="TableParagraph"/>
              <w:ind w:left="622"/>
              <w:rPr>
                <w:sz w:val="18"/>
              </w:rPr>
            </w:pPr>
            <w:r>
              <w:rPr>
                <w:sz w:val="18"/>
              </w:rPr>
              <w:t>69 (15.6%)</w:t>
            </w:r>
          </w:p>
        </w:tc>
      </w:tr>
      <w:tr w:rsidR="005330BF">
        <w:trPr>
          <w:trHeight w:val="465"/>
        </w:trPr>
        <w:tc>
          <w:tcPr>
            <w:tcW w:w="2113" w:type="dxa"/>
            <w:tcBorders>
              <w:top w:val="single" w:sz="4" w:space="0" w:color="000000"/>
              <w:bottom w:val="single" w:sz="4" w:space="0" w:color="000000"/>
            </w:tcBorders>
          </w:tcPr>
          <w:p w:rsidR="005330BF" w:rsidRDefault="00136814">
            <w:pPr>
              <w:pStyle w:val="TableParagraph"/>
              <w:rPr>
                <w:sz w:val="18"/>
              </w:rPr>
            </w:pPr>
            <w:r>
              <w:rPr>
                <w:sz w:val="18"/>
              </w:rPr>
              <w:t>Emergency/Casualty</w:t>
            </w:r>
          </w:p>
        </w:tc>
        <w:tc>
          <w:tcPr>
            <w:tcW w:w="2287" w:type="dxa"/>
            <w:tcBorders>
              <w:top w:val="single" w:sz="4" w:space="0" w:color="000000"/>
              <w:bottom w:val="single" w:sz="4" w:space="0" w:color="000000"/>
            </w:tcBorders>
          </w:tcPr>
          <w:p w:rsidR="005330BF" w:rsidRDefault="00136814">
            <w:pPr>
              <w:pStyle w:val="TableParagraph"/>
              <w:ind w:left="282"/>
              <w:rPr>
                <w:sz w:val="18"/>
              </w:rPr>
            </w:pPr>
            <w:r>
              <w:rPr>
                <w:sz w:val="18"/>
              </w:rPr>
              <w:t>872 (10.3%)</w:t>
            </w:r>
          </w:p>
        </w:tc>
        <w:tc>
          <w:tcPr>
            <w:tcW w:w="1824" w:type="dxa"/>
            <w:tcBorders>
              <w:top w:val="single" w:sz="4" w:space="0" w:color="000000"/>
              <w:bottom w:val="single" w:sz="4" w:space="0" w:color="000000"/>
            </w:tcBorders>
          </w:tcPr>
          <w:p w:rsidR="005330BF" w:rsidRDefault="00136814">
            <w:pPr>
              <w:pStyle w:val="TableParagraph"/>
              <w:ind w:left="220"/>
              <w:rPr>
                <w:sz w:val="18"/>
              </w:rPr>
            </w:pPr>
            <w:r>
              <w:rPr>
                <w:sz w:val="18"/>
              </w:rPr>
              <w:t>148 (23.2%)</w:t>
            </w:r>
          </w:p>
        </w:tc>
        <w:tc>
          <w:tcPr>
            <w:tcW w:w="2678" w:type="dxa"/>
            <w:tcBorders>
              <w:top w:val="single" w:sz="4" w:space="0" w:color="000000"/>
              <w:bottom w:val="single" w:sz="4" w:space="0" w:color="000000"/>
            </w:tcBorders>
          </w:tcPr>
          <w:p w:rsidR="005330BF" w:rsidRDefault="00136814">
            <w:pPr>
              <w:pStyle w:val="TableParagraph"/>
              <w:ind w:left="622"/>
              <w:rPr>
                <w:sz w:val="18"/>
              </w:rPr>
            </w:pPr>
            <w:r>
              <w:rPr>
                <w:sz w:val="18"/>
              </w:rPr>
              <w:t>69 (15.6%)</w:t>
            </w:r>
          </w:p>
        </w:tc>
      </w:tr>
      <w:tr w:rsidR="005330BF">
        <w:trPr>
          <w:trHeight w:val="465"/>
        </w:trPr>
        <w:tc>
          <w:tcPr>
            <w:tcW w:w="2113" w:type="dxa"/>
            <w:tcBorders>
              <w:top w:val="single" w:sz="4" w:space="0" w:color="000000"/>
              <w:bottom w:val="single" w:sz="4" w:space="0" w:color="000000"/>
            </w:tcBorders>
          </w:tcPr>
          <w:p w:rsidR="005330BF" w:rsidRDefault="00136814">
            <w:pPr>
              <w:pStyle w:val="TableParagraph"/>
              <w:rPr>
                <w:sz w:val="18"/>
              </w:rPr>
            </w:pPr>
            <w:r>
              <w:rPr>
                <w:sz w:val="18"/>
              </w:rPr>
              <w:t>Outpatient Clinic</w:t>
            </w:r>
          </w:p>
        </w:tc>
        <w:tc>
          <w:tcPr>
            <w:tcW w:w="2287" w:type="dxa"/>
            <w:tcBorders>
              <w:top w:val="single" w:sz="4" w:space="0" w:color="000000"/>
              <w:bottom w:val="single" w:sz="4" w:space="0" w:color="000000"/>
            </w:tcBorders>
          </w:tcPr>
          <w:p w:rsidR="005330BF" w:rsidRDefault="00136814">
            <w:pPr>
              <w:pStyle w:val="TableParagraph"/>
              <w:ind w:left="282"/>
              <w:rPr>
                <w:sz w:val="18"/>
              </w:rPr>
            </w:pPr>
            <w:r>
              <w:rPr>
                <w:sz w:val="18"/>
              </w:rPr>
              <w:t>567 (6.7%)</w:t>
            </w:r>
          </w:p>
        </w:tc>
        <w:tc>
          <w:tcPr>
            <w:tcW w:w="1824" w:type="dxa"/>
            <w:tcBorders>
              <w:top w:val="single" w:sz="4" w:space="0" w:color="000000"/>
              <w:bottom w:val="single" w:sz="4" w:space="0" w:color="000000"/>
            </w:tcBorders>
          </w:tcPr>
          <w:p w:rsidR="005330BF" w:rsidRDefault="00136814">
            <w:pPr>
              <w:pStyle w:val="TableParagraph"/>
              <w:ind w:left="220"/>
              <w:rPr>
                <w:sz w:val="18"/>
              </w:rPr>
            </w:pPr>
            <w:r>
              <w:rPr>
                <w:sz w:val="18"/>
              </w:rPr>
              <w:t>146 (22.9%)</w:t>
            </w:r>
          </w:p>
        </w:tc>
        <w:tc>
          <w:tcPr>
            <w:tcW w:w="2678" w:type="dxa"/>
            <w:tcBorders>
              <w:top w:val="single" w:sz="4" w:space="0" w:color="000000"/>
              <w:bottom w:val="single" w:sz="4" w:space="0" w:color="000000"/>
            </w:tcBorders>
          </w:tcPr>
          <w:p w:rsidR="005330BF" w:rsidRDefault="00136814">
            <w:pPr>
              <w:pStyle w:val="TableParagraph"/>
              <w:ind w:left="622"/>
              <w:rPr>
                <w:sz w:val="18"/>
              </w:rPr>
            </w:pPr>
            <w:r>
              <w:rPr>
                <w:sz w:val="18"/>
              </w:rPr>
              <w:t>56 (12.7%)</w:t>
            </w:r>
          </w:p>
        </w:tc>
      </w:tr>
      <w:tr w:rsidR="005330BF">
        <w:trPr>
          <w:trHeight w:val="465"/>
        </w:trPr>
        <w:tc>
          <w:tcPr>
            <w:tcW w:w="2113" w:type="dxa"/>
            <w:tcBorders>
              <w:top w:val="single" w:sz="4" w:space="0" w:color="000000"/>
              <w:bottom w:val="single" w:sz="4" w:space="0" w:color="000000"/>
            </w:tcBorders>
          </w:tcPr>
          <w:p w:rsidR="005330BF" w:rsidRDefault="00136814">
            <w:pPr>
              <w:pStyle w:val="TableParagraph"/>
              <w:rPr>
                <w:sz w:val="18"/>
              </w:rPr>
            </w:pPr>
            <w:r>
              <w:rPr>
                <w:sz w:val="18"/>
              </w:rPr>
              <w:t>Day Clinic</w:t>
            </w:r>
          </w:p>
        </w:tc>
        <w:tc>
          <w:tcPr>
            <w:tcW w:w="2287" w:type="dxa"/>
            <w:tcBorders>
              <w:top w:val="single" w:sz="4" w:space="0" w:color="000000"/>
              <w:bottom w:val="single" w:sz="4" w:space="0" w:color="000000"/>
            </w:tcBorders>
          </w:tcPr>
          <w:p w:rsidR="005330BF" w:rsidRDefault="00136814">
            <w:pPr>
              <w:pStyle w:val="TableParagraph"/>
              <w:ind w:left="282"/>
              <w:rPr>
                <w:sz w:val="18"/>
              </w:rPr>
            </w:pPr>
            <w:r>
              <w:rPr>
                <w:sz w:val="18"/>
              </w:rPr>
              <w:t>467 (5.5%)</w:t>
            </w:r>
          </w:p>
        </w:tc>
        <w:tc>
          <w:tcPr>
            <w:tcW w:w="1824" w:type="dxa"/>
            <w:tcBorders>
              <w:top w:val="single" w:sz="4" w:space="0" w:color="000000"/>
              <w:bottom w:val="single" w:sz="4" w:space="0" w:color="000000"/>
            </w:tcBorders>
          </w:tcPr>
          <w:p w:rsidR="005330BF" w:rsidRDefault="00136814">
            <w:pPr>
              <w:pStyle w:val="TableParagraph"/>
              <w:ind w:left="220"/>
              <w:rPr>
                <w:sz w:val="18"/>
              </w:rPr>
            </w:pPr>
            <w:r>
              <w:rPr>
                <w:sz w:val="18"/>
              </w:rPr>
              <w:t>85 (13.3%)</w:t>
            </w:r>
          </w:p>
        </w:tc>
        <w:tc>
          <w:tcPr>
            <w:tcW w:w="2678" w:type="dxa"/>
            <w:tcBorders>
              <w:top w:val="single" w:sz="4" w:space="0" w:color="000000"/>
              <w:bottom w:val="single" w:sz="4" w:space="0" w:color="000000"/>
            </w:tcBorders>
          </w:tcPr>
          <w:p w:rsidR="005330BF" w:rsidRDefault="00136814">
            <w:pPr>
              <w:pStyle w:val="TableParagraph"/>
              <w:ind w:left="622"/>
              <w:rPr>
                <w:sz w:val="18"/>
              </w:rPr>
            </w:pPr>
            <w:r>
              <w:rPr>
                <w:sz w:val="18"/>
              </w:rPr>
              <w:t>29 (6.6%)</w:t>
            </w:r>
          </w:p>
        </w:tc>
      </w:tr>
    </w:tbl>
    <w:p w:rsidR="005330BF" w:rsidRDefault="005330BF">
      <w:pPr>
        <w:rPr>
          <w:sz w:val="18"/>
        </w:rPr>
        <w:sectPr w:rsidR="005330BF">
          <w:pgSz w:w="11910" w:h="16840"/>
          <w:pgMar w:top="1040" w:right="540" w:bottom="560" w:left="740" w:header="0" w:footer="290" w:gutter="0"/>
          <w:cols w:space="720"/>
        </w:sectPr>
      </w:pPr>
    </w:p>
    <w:bookmarkStart w:id="64" w:name="_bookmark36"/>
    <w:bookmarkStart w:id="65" w:name="Figure_9._Age_and_sex_adjusted_risk_rati"/>
    <w:bookmarkStart w:id="66" w:name="_bookmark35"/>
    <w:bookmarkEnd w:id="64"/>
    <w:bookmarkEnd w:id="65"/>
    <w:bookmarkEnd w:id="66"/>
    <w:p w:rsidR="005330BF" w:rsidRDefault="00136814">
      <w:pPr>
        <w:pStyle w:val="BodyText"/>
        <w:spacing w:before="45" w:line="276" w:lineRule="auto"/>
        <w:ind w:left="110" w:right="1683"/>
      </w:pPr>
      <w:r>
        <w:fldChar w:fldCharType="begin"/>
      </w:r>
      <w:r>
        <w:instrText xml:space="preserve"> HYPERLINK \l "_bookmark36" </w:instrText>
      </w:r>
      <w:r>
        <w:fldChar w:fldCharType="separate"/>
      </w:r>
      <w:r>
        <w:rPr>
          <w:b/>
          <w:color w:val="25408F"/>
        </w:rPr>
        <w:t xml:space="preserve">Figure 9 </w:t>
      </w:r>
      <w:r>
        <w:rPr>
          <w:b/>
          <w:color w:val="25408F"/>
        </w:rPr>
        <w:fldChar w:fldCharType="end"/>
      </w:r>
      <w:r>
        <w:t>shows the age and sex adjusted risk ratios of health centre visits in the preceding 12 months for DSP and NSA recipients compared to wage earners.</w:t>
      </w:r>
    </w:p>
    <w:p w:rsidR="005330BF" w:rsidRDefault="00136814">
      <w:pPr>
        <w:pStyle w:val="BodyText"/>
        <w:spacing w:before="3"/>
        <w:ind w:left="110"/>
      </w:pPr>
      <w:r>
        <w:t>Results show that:</w:t>
      </w:r>
    </w:p>
    <w:p w:rsidR="005330BF" w:rsidRDefault="00136814">
      <w:pPr>
        <w:pStyle w:val="ListParagraph"/>
        <w:numPr>
          <w:ilvl w:val="0"/>
          <w:numId w:val="2"/>
        </w:numPr>
        <w:tabs>
          <w:tab w:val="left" w:pos="470"/>
          <w:tab w:val="left" w:pos="471"/>
        </w:tabs>
        <w:spacing w:before="191" w:line="278" w:lineRule="auto"/>
        <w:ind w:right="2025"/>
      </w:pPr>
      <w:r>
        <w:t>DSP recipients were at 2 to 3 times the risk of visiting a hospital than wage earners, wit</w:t>
      </w:r>
      <w:r>
        <w:t>h the greatest risk being for visiting an outpatient</w:t>
      </w:r>
      <w:r>
        <w:rPr>
          <w:spacing w:val="-10"/>
        </w:rPr>
        <w:t xml:space="preserve"> </w:t>
      </w:r>
      <w:r>
        <w:t>clinic.</w:t>
      </w:r>
    </w:p>
    <w:p w:rsidR="005330BF" w:rsidRDefault="00136814">
      <w:pPr>
        <w:pStyle w:val="ListParagraph"/>
        <w:numPr>
          <w:ilvl w:val="0"/>
          <w:numId w:val="2"/>
        </w:numPr>
        <w:tabs>
          <w:tab w:val="left" w:pos="470"/>
          <w:tab w:val="left" w:pos="471"/>
        </w:tabs>
        <w:spacing w:line="278" w:lineRule="auto"/>
        <w:ind w:right="1730"/>
      </w:pPr>
      <w:r>
        <w:t>NSA recipients were at 1.5 to 2 times increased risk than wage earners of visiting an outpatient</w:t>
      </w:r>
      <w:r>
        <w:rPr>
          <w:spacing w:val="-6"/>
        </w:rPr>
        <w:t xml:space="preserve"> </w:t>
      </w:r>
      <w:r>
        <w:t>clinic,</w:t>
      </w:r>
      <w:r>
        <w:rPr>
          <w:spacing w:val="-4"/>
        </w:rPr>
        <w:t xml:space="preserve"> </w:t>
      </w:r>
      <w:r>
        <w:t>being</w:t>
      </w:r>
      <w:r>
        <w:rPr>
          <w:spacing w:val="-5"/>
        </w:rPr>
        <w:t xml:space="preserve"> </w:t>
      </w:r>
      <w:r>
        <w:t>admitted</w:t>
      </w:r>
      <w:r>
        <w:rPr>
          <w:spacing w:val="-6"/>
        </w:rPr>
        <w:t xml:space="preserve"> </w:t>
      </w:r>
      <w:r>
        <w:t>as</w:t>
      </w:r>
      <w:r>
        <w:rPr>
          <w:spacing w:val="-5"/>
        </w:rPr>
        <w:t xml:space="preserve"> </w:t>
      </w:r>
      <w:r>
        <w:t>an</w:t>
      </w:r>
      <w:r>
        <w:rPr>
          <w:spacing w:val="-5"/>
        </w:rPr>
        <w:t xml:space="preserve"> </w:t>
      </w:r>
      <w:r>
        <w:t>inpatient</w:t>
      </w:r>
      <w:r>
        <w:rPr>
          <w:spacing w:val="-6"/>
        </w:rPr>
        <w:t xml:space="preserve"> </w:t>
      </w:r>
      <w:r>
        <w:t>and</w:t>
      </w:r>
      <w:r>
        <w:rPr>
          <w:spacing w:val="-5"/>
        </w:rPr>
        <w:t xml:space="preserve"> </w:t>
      </w:r>
      <w:r>
        <w:t>visiting</w:t>
      </w:r>
      <w:r>
        <w:rPr>
          <w:spacing w:val="-4"/>
        </w:rPr>
        <w:t xml:space="preserve"> </w:t>
      </w:r>
      <w:r>
        <w:t>an</w:t>
      </w:r>
      <w:r>
        <w:rPr>
          <w:spacing w:val="-6"/>
        </w:rPr>
        <w:t xml:space="preserve"> </w:t>
      </w:r>
      <w:r>
        <w:t>emergency</w:t>
      </w:r>
      <w:r>
        <w:rPr>
          <w:spacing w:val="-5"/>
        </w:rPr>
        <w:t xml:space="preserve"> </w:t>
      </w:r>
      <w:r>
        <w:t>department.</w:t>
      </w:r>
    </w:p>
    <w:p w:rsidR="005330BF" w:rsidRDefault="005330BF">
      <w:pPr>
        <w:pStyle w:val="BodyText"/>
        <w:spacing w:before="4"/>
        <w:ind w:left="0"/>
        <w:rPr>
          <w:sz w:val="27"/>
        </w:rPr>
      </w:pPr>
    </w:p>
    <w:p w:rsidR="005330BF" w:rsidRDefault="00136814">
      <w:pPr>
        <w:spacing w:line="268" w:lineRule="auto"/>
        <w:ind w:left="110" w:right="1607"/>
        <w:rPr>
          <w:b/>
          <w:sz w:val="18"/>
        </w:rPr>
      </w:pPr>
      <w:r>
        <w:rPr>
          <w:noProof/>
        </w:rPr>
        <w:drawing>
          <wp:anchor distT="0" distB="0" distL="0" distR="0" simplePos="0" relativeHeight="251654144" behindDoc="0" locked="0" layoutInCell="1" allowOverlap="1">
            <wp:simplePos x="0" y="0"/>
            <wp:positionH relativeFrom="page">
              <wp:posOffset>540004</wp:posOffset>
            </wp:positionH>
            <wp:positionV relativeFrom="paragraph">
              <wp:posOffset>365012</wp:posOffset>
            </wp:positionV>
            <wp:extent cx="5432447" cy="3911346"/>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5432447" cy="3911346"/>
                    </a:xfrm>
                    <a:prstGeom prst="rect">
                      <a:avLst/>
                    </a:prstGeom>
                  </pic:spPr>
                </pic:pic>
              </a:graphicData>
            </a:graphic>
          </wp:anchor>
        </w:drawing>
      </w:r>
      <w:r>
        <w:rPr>
          <w:b/>
          <w:color w:val="25408F"/>
          <w:sz w:val="18"/>
        </w:rPr>
        <w:t>Figure 9. Age and sex adjusted risk ratios for having used a particular health service at least once in the past 12 months in DSP and NSA recipients compared to wage earners</w:t>
      </w:r>
    </w:p>
    <w:p w:rsidR="005330BF" w:rsidRDefault="005330BF">
      <w:pPr>
        <w:pStyle w:val="BodyText"/>
        <w:ind w:left="0"/>
        <w:rPr>
          <w:b/>
          <w:sz w:val="18"/>
        </w:rPr>
      </w:pPr>
    </w:p>
    <w:p w:rsidR="005330BF" w:rsidRDefault="005330BF">
      <w:pPr>
        <w:pStyle w:val="BodyText"/>
        <w:spacing w:before="8"/>
        <w:ind w:left="0"/>
        <w:rPr>
          <w:b/>
          <w:sz w:val="16"/>
        </w:rPr>
      </w:pPr>
    </w:p>
    <w:p w:rsidR="005330BF" w:rsidRDefault="00136814">
      <w:pPr>
        <w:pStyle w:val="Heading3"/>
        <w:spacing w:before="0"/>
        <w:ind w:left="110"/>
      </w:pPr>
      <w:r>
        <w:rPr>
          <w:color w:val="58595B"/>
        </w:rPr>
        <w:t>Frequency of Health Service Use</w:t>
      </w:r>
    </w:p>
    <w:p w:rsidR="005330BF" w:rsidRDefault="00136814">
      <w:pPr>
        <w:pStyle w:val="BodyText"/>
        <w:spacing w:before="190" w:line="276" w:lineRule="auto"/>
        <w:ind w:left="110" w:right="1487"/>
      </w:pPr>
      <w:r>
        <w:t>We also examined the number of times people in e</w:t>
      </w:r>
      <w:r>
        <w:t xml:space="preserve">ach of the three groups reported visiting a health professional or a hospital in the preceding 12 months </w:t>
      </w:r>
      <w:hyperlink w:anchor="_bookmark38" w:history="1">
        <w:r>
          <w:rPr>
            <w:b/>
            <w:color w:val="25408F"/>
          </w:rPr>
          <w:t xml:space="preserve">Table </w:t>
        </w:r>
      </w:hyperlink>
      <w:r>
        <w:rPr>
          <w:b/>
          <w:color w:val="25408F"/>
        </w:rPr>
        <w:t>7</w:t>
      </w:r>
      <w:r>
        <w:t>. Results indicate some substantial differences between groups including that:</w:t>
      </w:r>
    </w:p>
    <w:p w:rsidR="005330BF" w:rsidRDefault="00136814">
      <w:pPr>
        <w:pStyle w:val="ListParagraph"/>
        <w:numPr>
          <w:ilvl w:val="0"/>
          <w:numId w:val="2"/>
        </w:numPr>
        <w:tabs>
          <w:tab w:val="left" w:pos="470"/>
          <w:tab w:val="left" w:pos="471"/>
        </w:tabs>
        <w:spacing w:before="154" w:line="278" w:lineRule="auto"/>
        <w:ind w:right="1686"/>
      </w:pPr>
      <w:r>
        <w:t>More than two in every five (42.6%</w:t>
      </w:r>
      <w:r>
        <w:t>) of DSP recipients visited a GP more than 10</w:t>
      </w:r>
      <w:r>
        <w:rPr>
          <w:spacing w:val="-22"/>
        </w:rPr>
        <w:t xml:space="preserve"> </w:t>
      </w:r>
      <w:r>
        <w:t>times, compared to less than 5% of wage earners and 19% of NSA</w:t>
      </w:r>
      <w:r>
        <w:rPr>
          <w:spacing w:val="-27"/>
        </w:rPr>
        <w:t xml:space="preserve"> </w:t>
      </w:r>
      <w:r>
        <w:t>recipients.</w:t>
      </w:r>
    </w:p>
    <w:p w:rsidR="005330BF" w:rsidRDefault="00136814">
      <w:pPr>
        <w:pStyle w:val="ListParagraph"/>
        <w:numPr>
          <w:ilvl w:val="0"/>
          <w:numId w:val="2"/>
        </w:numPr>
        <w:tabs>
          <w:tab w:val="left" w:pos="470"/>
          <w:tab w:val="left" w:pos="471"/>
        </w:tabs>
        <w:spacing w:line="278" w:lineRule="auto"/>
        <w:ind w:right="1243"/>
      </w:pPr>
      <w:r>
        <w:t>More than 10% of DSP recipients visited a specialist more than 10 times in the past 12 months,</w:t>
      </w:r>
      <w:r>
        <w:rPr>
          <w:spacing w:val="-4"/>
        </w:rPr>
        <w:t xml:space="preserve"> </w:t>
      </w:r>
      <w:r>
        <w:t>in</w:t>
      </w:r>
      <w:r>
        <w:rPr>
          <w:spacing w:val="-3"/>
        </w:rPr>
        <w:t xml:space="preserve"> </w:t>
      </w:r>
      <w:r>
        <w:t>comparison</w:t>
      </w:r>
      <w:r>
        <w:rPr>
          <w:spacing w:val="-3"/>
        </w:rPr>
        <w:t xml:space="preserve"> </w:t>
      </w:r>
      <w:r>
        <w:t>to</w:t>
      </w:r>
      <w:r>
        <w:rPr>
          <w:spacing w:val="-3"/>
        </w:rPr>
        <w:t xml:space="preserve"> </w:t>
      </w:r>
      <w:r>
        <w:t>2%</w:t>
      </w:r>
      <w:r>
        <w:rPr>
          <w:spacing w:val="-4"/>
        </w:rPr>
        <w:t xml:space="preserve"> </w:t>
      </w:r>
      <w:r>
        <w:t>and</w:t>
      </w:r>
      <w:r>
        <w:rPr>
          <w:spacing w:val="-3"/>
        </w:rPr>
        <w:t xml:space="preserve"> </w:t>
      </w:r>
      <w:r>
        <w:t>3%</w:t>
      </w:r>
      <w:r>
        <w:rPr>
          <w:spacing w:val="-4"/>
        </w:rPr>
        <w:t xml:space="preserve"> </w:t>
      </w:r>
      <w:r>
        <w:t>of</w:t>
      </w:r>
      <w:r>
        <w:rPr>
          <w:spacing w:val="-3"/>
        </w:rPr>
        <w:t xml:space="preserve"> </w:t>
      </w:r>
      <w:r>
        <w:t>the</w:t>
      </w:r>
      <w:r>
        <w:rPr>
          <w:spacing w:val="-3"/>
        </w:rPr>
        <w:t xml:space="preserve"> </w:t>
      </w:r>
      <w:r>
        <w:t>wage</w:t>
      </w:r>
      <w:r>
        <w:rPr>
          <w:spacing w:val="-3"/>
        </w:rPr>
        <w:t xml:space="preserve"> </w:t>
      </w:r>
      <w:r>
        <w:t>e</w:t>
      </w:r>
      <w:r>
        <w:t>arners</w:t>
      </w:r>
      <w:r>
        <w:rPr>
          <w:spacing w:val="-4"/>
        </w:rPr>
        <w:t xml:space="preserve"> </w:t>
      </w:r>
      <w:r>
        <w:t>and</w:t>
      </w:r>
      <w:r>
        <w:rPr>
          <w:spacing w:val="-3"/>
        </w:rPr>
        <w:t xml:space="preserve"> </w:t>
      </w:r>
      <w:r>
        <w:t>NSA</w:t>
      </w:r>
      <w:r>
        <w:rPr>
          <w:spacing w:val="-15"/>
        </w:rPr>
        <w:t xml:space="preserve"> </w:t>
      </w:r>
      <w:r>
        <w:t>recipients,</w:t>
      </w:r>
      <w:r>
        <w:rPr>
          <w:spacing w:val="-3"/>
        </w:rPr>
        <w:t xml:space="preserve"> </w:t>
      </w:r>
      <w:r>
        <w:t>respectively.</w:t>
      </w:r>
    </w:p>
    <w:p w:rsidR="005330BF" w:rsidRDefault="00136814">
      <w:pPr>
        <w:pStyle w:val="ListParagraph"/>
        <w:numPr>
          <w:ilvl w:val="0"/>
          <w:numId w:val="2"/>
        </w:numPr>
        <w:tabs>
          <w:tab w:val="left" w:pos="471"/>
        </w:tabs>
        <w:spacing w:line="278" w:lineRule="auto"/>
        <w:ind w:right="1526"/>
        <w:jc w:val="both"/>
      </w:pPr>
      <w:r>
        <w:t>DSP recipients were substantially more likely to have had 2 or more hospital</w:t>
      </w:r>
      <w:r>
        <w:rPr>
          <w:spacing w:val="-44"/>
        </w:rPr>
        <w:t xml:space="preserve"> </w:t>
      </w:r>
      <w:r>
        <w:t>admissions, 2 or more visits to an emergency department and 2 or more visits to an outpatient or day clinic than the other</w:t>
      </w:r>
      <w:r>
        <w:rPr>
          <w:spacing w:val="-2"/>
        </w:rPr>
        <w:t xml:space="preserve"> </w:t>
      </w:r>
      <w:r>
        <w:t>groups.</w:t>
      </w:r>
    </w:p>
    <w:p w:rsidR="005330BF" w:rsidRDefault="00136814">
      <w:pPr>
        <w:pStyle w:val="ListParagraph"/>
        <w:numPr>
          <w:ilvl w:val="0"/>
          <w:numId w:val="2"/>
        </w:numPr>
        <w:tabs>
          <w:tab w:val="left" w:pos="470"/>
          <w:tab w:val="left" w:pos="471"/>
        </w:tabs>
        <w:spacing w:line="278" w:lineRule="auto"/>
        <w:ind w:right="1353"/>
      </w:pPr>
      <w:r>
        <w:t>Although DSP recipients were the most likely group to not have visited a dentist in the past 12 months they were also the most likely to have visited more than five</w:t>
      </w:r>
      <w:r>
        <w:rPr>
          <w:spacing w:val="-11"/>
        </w:rPr>
        <w:t xml:space="preserve"> </w:t>
      </w:r>
      <w:r>
        <w:t>times.</w:t>
      </w:r>
    </w:p>
    <w:p w:rsidR="005330BF" w:rsidRDefault="005330BF">
      <w:pPr>
        <w:spacing w:line="278" w:lineRule="auto"/>
        <w:sectPr w:rsidR="005330BF">
          <w:pgSz w:w="11910" w:h="16840"/>
          <w:pgMar w:top="1160" w:right="540" w:bottom="560" w:left="740" w:header="0" w:footer="29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996"/>
        <w:gridCol w:w="2511"/>
        <w:gridCol w:w="2057"/>
        <w:gridCol w:w="2337"/>
      </w:tblGrid>
      <w:tr w:rsidR="005330BF">
        <w:trPr>
          <w:trHeight w:val="583"/>
        </w:trPr>
        <w:tc>
          <w:tcPr>
            <w:tcW w:w="8901" w:type="dxa"/>
            <w:gridSpan w:val="4"/>
            <w:tcBorders>
              <w:bottom w:val="single" w:sz="4" w:space="0" w:color="000000"/>
            </w:tcBorders>
          </w:tcPr>
          <w:p w:rsidR="005330BF" w:rsidRDefault="00136814">
            <w:pPr>
              <w:pStyle w:val="TableParagraph"/>
              <w:spacing w:before="0" w:line="180" w:lineRule="exact"/>
              <w:rPr>
                <w:b/>
                <w:sz w:val="18"/>
              </w:rPr>
            </w:pPr>
            <w:bookmarkStart w:id="67" w:name="Table_7._Number_and_percentage_of_indivi"/>
            <w:bookmarkStart w:id="68" w:name="_bookmark37"/>
            <w:bookmarkEnd w:id="67"/>
            <w:bookmarkEnd w:id="68"/>
            <w:r>
              <w:rPr>
                <w:b/>
                <w:color w:val="25408F"/>
                <w:sz w:val="18"/>
              </w:rPr>
              <w:t>TABLE 7. NUMBER AND PERCENTAGE OF INDIVIDUALS IN EACH GROUP WHO VISITED A</w:t>
            </w:r>
          </w:p>
          <w:p w:rsidR="005330BF" w:rsidRDefault="00136814">
            <w:pPr>
              <w:pStyle w:val="TableParagraph"/>
              <w:spacing w:before="65"/>
              <w:rPr>
                <w:b/>
                <w:sz w:val="18"/>
              </w:rPr>
            </w:pPr>
            <w:r>
              <w:rPr>
                <w:b/>
                <w:color w:val="25408F"/>
                <w:sz w:val="18"/>
              </w:rPr>
              <w:t>PARTICULAR HEALTH PROFESSIONAL OR HEALTH CENTRE BY FREQUENCY OF VISITS</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Number of Visits</w:t>
            </w:r>
          </w:p>
        </w:tc>
        <w:tc>
          <w:tcPr>
            <w:tcW w:w="2511" w:type="dxa"/>
            <w:tcBorders>
              <w:top w:val="single" w:sz="4" w:space="0" w:color="000000"/>
              <w:bottom w:val="single" w:sz="4" w:space="0" w:color="000000"/>
            </w:tcBorders>
          </w:tcPr>
          <w:p w:rsidR="005330BF" w:rsidRDefault="00136814">
            <w:pPr>
              <w:pStyle w:val="TableParagraph"/>
              <w:spacing w:before="127"/>
              <w:ind w:left="399"/>
              <w:rPr>
                <w:b/>
                <w:sz w:val="18"/>
              </w:rPr>
            </w:pPr>
            <w:r>
              <w:rPr>
                <w:b/>
                <w:color w:val="25408F"/>
                <w:sz w:val="18"/>
              </w:rPr>
              <w:t>Wage Earners (N=8440)</w:t>
            </w:r>
          </w:p>
        </w:tc>
        <w:tc>
          <w:tcPr>
            <w:tcW w:w="2057" w:type="dxa"/>
            <w:tcBorders>
              <w:top w:val="single" w:sz="4" w:space="0" w:color="000000"/>
              <w:bottom w:val="single" w:sz="4" w:space="0" w:color="000000"/>
            </w:tcBorders>
          </w:tcPr>
          <w:p w:rsidR="005330BF" w:rsidRDefault="00136814">
            <w:pPr>
              <w:pStyle w:val="TableParagraph"/>
              <w:spacing w:before="127"/>
              <w:ind w:left="113"/>
              <w:rPr>
                <w:b/>
                <w:sz w:val="18"/>
              </w:rPr>
            </w:pPr>
            <w:r>
              <w:rPr>
                <w:b/>
                <w:color w:val="25408F"/>
                <w:sz w:val="18"/>
              </w:rPr>
              <w:t>DSP Group (N=638)</w:t>
            </w:r>
          </w:p>
        </w:tc>
        <w:tc>
          <w:tcPr>
            <w:tcW w:w="2337" w:type="dxa"/>
            <w:tcBorders>
              <w:top w:val="single" w:sz="4" w:space="0" w:color="000000"/>
              <w:bottom w:val="single" w:sz="4" w:space="0" w:color="000000"/>
            </w:tcBorders>
          </w:tcPr>
          <w:p w:rsidR="005330BF" w:rsidRDefault="00136814">
            <w:pPr>
              <w:pStyle w:val="TableParagraph"/>
              <w:spacing w:before="127"/>
              <w:ind w:left="282"/>
              <w:rPr>
                <w:b/>
                <w:sz w:val="18"/>
              </w:rPr>
            </w:pPr>
            <w:r>
              <w:rPr>
                <w:b/>
                <w:color w:val="25408F"/>
                <w:sz w:val="18"/>
              </w:rPr>
              <w:t>NSA Group (N=442)</w:t>
            </w:r>
          </w:p>
        </w:tc>
      </w:tr>
      <w:tr w:rsidR="005330BF">
        <w:trPr>
          <w:trHeight w:val="465"/>
        </w:trPr>
        <w:tc>
          <w:tcPr>
            <w:tcW w:w="1996"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General Practitioner</w:t>
            </w:r>
          </w:p>
        </w:tc>
        <w:tc>
          <w:tcPr>
            <w:tcW w:w="251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05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3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1340 (15.9%)</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27 (4.2%)</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51 (11.5%)</w:t>
            </w:r>
          </w:p>
        </w:tc>
      </w:tr>
      <w:tr w:rsidR="005330BF">
        <w:trPr>
          <w:trHeight w:val="484"/>
        </w:trPr>
        <w:tc>
          <w:tcPr>
            <w:tcW w:w="1996" w:type="dxa"/>
            <w:tcBorders>
              <w:top w:val="single" w:sz="4" w:space="0" w:color="000000"/>
              <w:bottom w:val="single" w:sz="4" w:space="0" w:color="000000"/>
            </w:tcBorders>
          </w:tcPr>
          <w:p w:rsidR="005330BF" w:rsidRDefault="00136814">
            <w:pPr>
              <w:pStyle w:val="TableParagraph"/>
              <w:rPr>
                <w:sz w:val="18"/>
              </w:rPr>
            </w:pPr>
            <w:r>
              <w:rPr>
                <w:sz w:val="18"/>
              </w:rPr>
              <w:t>1 to 5</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5721 (67.8%)</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205 (32.1%)</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227 (51.4%)</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6 to 10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971 (11.5%)</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134 (21.0%)</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82 (18.6%)</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11 or more</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408 (4.8%)</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272 (42.6%)</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82 (18.6%)</w:t>
            </w:r>
          </w:p>
        </w:tc>
      </w:tr>
      <w:tr w:rsidR="005330BF">
        <w:trPr>
          <w:trHeight w:val="465"/>
        </w:trPr>
        <w:tc>
          <w:tcPr>
            <w:tcW w:w="1996"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Dentist</w:t>
            </w:r>
          </w:p>
        </w:tc>
        <w:tc>
          <w:tcPr>
            <w:tcW w:w="251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05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3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4307 (51.0%)</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406 (63.6%)</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280 (63.3%)</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 to 5</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3954 (46.8%)</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197 (30.9%)</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150 (33.9%)</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6 or more</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179 (2.1%)</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35 (5.5%)</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12 (2.7%)</w:t>
            </w:r>
          </w:p>
        </w:tc>
      </w:tr>
      <w:tr w:rsidR="005330BF">
        <w:trPr>
          <w:trHeight w:val="465"/>
        </w:trPr>
        <w:tc>
          <w:tcPr>
            <w:tcW w:w="1996"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Specialist</w:t>
            </w:r>
          </w:p>
        </w:tc>
        <w:tc>
          <w:tcPr>
            <w:tcW w:w="251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05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3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5694 (67.5%)</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249 (39.0%)</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271 (61.3%)</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 to 5</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2319 (27.5%)</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265 (41.5%)</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139 (31.4%)</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6 to 10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276 (3.3%)</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55 (8.6%)</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19 (4.3%)</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11 or more</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151 (1.8%)</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69 (10.8%)</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13 (2.9%)</w:t>
            </w:r>
          </w:p>
        </w:tc>
      </w:tr>
      <w:tr w:rsidR="005330BF">
        <w:trPr>
          <w:trHeight w:val="465"/>
        </w:trPr>
        <w:tc>
          <w:tcPr>
            <w:tcW w:w="1996"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Hospital Inpatient</w:t>
            </w:r>
          </w:p>
        </w:tc>
        <w:tc>
          <w:tcPr>
            <w:tcW w:w="251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05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3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7614 (90.2%)</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474 (74.3%)</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373 (84.4%)</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642 (7.6%)</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98 (15.4%)</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42 (9.5%)</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2 or more</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183 (2.2%)</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65 (10.2%)</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25 (5.7%)</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Missing</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1 (&lt; 1%)</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1 (0.2%)</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2 (0.5%)</w:t>
            </w:r>
          </w:p>
        </w:tc>
      </w:tr>
      <w:tr w:rsidR="005330BF">
        <w:trPr>
          <w:trHeight w:val="465"/>
        </w:trPr>
        <w:tc>
          <w:tcPr>
            <w:tcW w:w="1996"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Outpatient Clinic</w:t>
            </w:r>
          </w:p>
        </w:tc>
        <w:tc>
          <w:tcPr>
            <w:tcW w:w="251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05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c>
          <w:tcPr>
            <w:tcW w:w="23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6"/>
              </w:rPr>
            </w:pP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7873 (93.3%)</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492 (77.1%)</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386 (87.3%)</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295 (3.5%)</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40 (6.3%)</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24 (5.4%)</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2 or more</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264 (3.1%)</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100 (15.7%)</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32 (7.2%)</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Missing</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8 (0.1%)</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6 (0.9%)</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0 (0.0%)</w:t>
            </w:r>
          </w:p>
        </w:tc>
      </w:tr>
    </w:tbl>
    <w:p w:rsidR="005330BF" w:rsidRDefault="005330BF">
      <w:pPr>
        <w:pStyle w:val="BodyText"/>
        <w:ind w:left="0"/>
      </w:pPr>
      <w:bookmarkStart w:id="69" w:name="_bookmark38"/>
      <w:bookmarkEnd w:id="69"/>
    </w:p>
    <w:p w:rsidR="005330BF" w:rsidRDefault="005330BF">
      <w:pPr>
        <w:sectPr w:rsidR="005330BF">
          <w:pgSz w:w="11910" w:h="16840"/>
          <w:pgMar w:top="1280" w:right="540" w:bottom="480" w:left="740" w:header="0" w:footer="29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996"/>
        <w:gridCol w:w="2511"/>
        <w:gridCol w:w="2057"/>
        <w:gridCol w:w="2337"/>
      </w:tblGrid>
      <w:tr w:rsidR="005330BF">
        <w:trPr>
          <w:trHeight w:val="583"/>
        </w:trPr>
        <w:tc>
          <w:tcPr>
            <w:tcW w:w="8901" w:type="dxa"/>
            <w:gridSpan w:val="4"/>
            <w:tcBorders>
              <w:bottom w:val="single" w:sz="4" w:space="0" w:color="000000"/>
            </w:tcBorders>
          </w:tcPr>
          <w:p w:rsidR="005330BF" w:rsidRDefault="00136814">
            <w:pPr>
              <w:pStyle w:val="TableParagraph"/>
              <w:spacing w:before="0" w:line="180" w:lineRule="exact"/>
              <w:rPr>
                <w:b/>
                <w:sz w:val="18"/>
              </w:rPr>
            </w:pPr>
            <w:r>
              <w:rPr>
                <w:b/>
                <w:color w:val="25408F"/>
                <w:sz w:val="18"/>
              </w:rPr>
              <w:t>TABLE 7. NUMBER AND PERCENTAGE OF INDIVIDUALS IN EACH GROUP WHO VISITED A</w:t>
            </w:r>
          </w:p>
          <w:p w:rsidR="005330BF" w:rsidRDefault="00136814">
            <w:pPr>
              <w:pStyle w:val="TableParagraph"/>
              <w:spacing w:before="65"/>
              <w:rPr>
                <w:b/>
                <w:sz w:val="18"/>
              </w:rPr>
            </w:pPr>
            <w:r>
              <w:rPr>
                <w:b/>
                <w:color w:val="25408F"/>
                <w:sz w:val="18"/>
              </w:rPr>
              <w:t>PARTICULAR HEALTH PROFESSIONAL OR HEALTH CENTRE BY FREQUENCY OF VISITS</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Number of Visits</w:t>
            </w:r>
          </w:p>
        </w:tc>
        <w:tc>
          <w:tcPr>
            <w:tcW w:w="2511" w:type="dxa"/>
            <w:tcBorders>
              <w:top w:val="single" w:sz="4" w:space="0" w:color="000000"/>
              <w:bottom w:val="single" w:sz="4" w:space="0" w:color="000000"/>
            </w:tcBorders>
          </w:tcPr>
          <w:p w:rsidR="005330BF" w:rsidRDefault="00136814">
            <w:pPr>
              <w:pStyle w:val="TableParagraph"/>
              <w:spacing w:before="127"/>
              <w:ind w:left="399"/>
              <w:rPr>
                <w:b/>
                <w:sz w:val="18"/>
              </w:rPr>
            </w:pPr>
            <w:r>
              <w:rPr>
                <w:b/>
                <w:color w:val="25408F"/>
                <w:sz w:val="18"/>
              </w:rPr>
              <w:t>Wage Earners (N=8440)</w:t>
            </w:r>
          </w:p>
        </w:tc>
        <w:tc>
          <w:tcPr>
            <w:tcW w:w="2057" w:type="dxa"/>
            <w:tcBorders>
              <w:top w:val="single" w:sz="4" w:space="0" w:color="000000"/>
              <w:bottom w:val="single" w:sz="4" w:space="0" w:color="000000"/>
            </w:tcBorders>
          </w:tcPr>
          <w:p w:rsidR="005330BF" w:rsidRDefault="00136814">
            <w:pPr>
              <w:pStyle w:val="TableParagraph"/>
              <w:spacing w:before="127"/>
              <w:ind w:left="113"/>
              <w:rPr>
                <w:b/>
                <w:sz w:val="18"/>
              </w:rPr>
            </w:pPr>
            <w:r>
              <w:rPr>
                <w:b/>
                <w:color w:val="25408F"/>
                <w:sz w:val="18"/>
              </w:rPr>
              <w:t>DSP Group (N=638)</w:t>
            </w:r>
          </w:p>
        </w:tc>
        <w:tc>
          <w:tcPr>
            <w:tcW w:w="2337" w:type="dxa"/>
            <w:tcBorders>
              <w:top w:val="single" w:sz="4" w:space="0" w:color="000000"/>
              <w:bottom w:val="single" w:sz="4" w:space="0" w:color="000000"/>
            </w:tcBorders>
          </w:tcPr>
          <w:p w:rsidR="005330BF" w:rsidRDefault="00136814">
            <w:pPr>
              <w:pStyle w:val="TableParagraph"/>
              <w:spacing w:before="127"/>
              <w:ind w:left="282"/>
              <w:rPr>
                <w:b/>
                <w:sz w:val="18"/>
              </w:rPr>
            </w:pPr>
            <w:r>
              <w:rPr>
                <w:b/>
                <w:color w:val="25408F"/>
                <w:sz w:val="18"/>
              </w:rPr>
              <w:t>NSA Group (N=442)</w:t>
            </w:r>
          </w:p>
        </w:tc>
      </w:tr>
      <w:tr w:rsidR="005330BF">
        <w:trPr>
          <w:trHeight w:val="465"/>
        </w:trPr>
        <w:tc>
          <w:tcPr>
            <w:tcW w:w="1996"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Emergency/Casualty</w:t>
            </w:r>
          </w:p>
        </w:tc>
        <w:tc>
          <w:tcPr>
            <w:tcW w:w="251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20"/>
              </w:rPr>
            </w:pPr>
          </w:p>
        </w:tc>
        <w:tc>
          <w:tcPr>
            <w:tcW w:w="205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20"/>
              </w:rPr>
            </w:pPr>
          </w:p>
        </w:tc>
        <w:tc>
          <w:tcPr>
            <w:tcW w:w="23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20"/>
              </w:rPr>
            </w:pP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7568 (89.7%)</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490 (76.8%)</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373 (84.4%)</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644 (7.6%)</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67 (10.5%)</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42 (9.5%)</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2 or more</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227 (2.7%)</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79 (12.4%)</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27 (6.1%)</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Missing</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1 (&lt; 1%)</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2 (0.3%)</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0 (0.0%)</w:t>
            </w:r>
          </w:p>
        </w:tc>
      </w:tr>
      <w:tr w:rsidR="005330BF">
        <w:trPr>
          <w:trHeight w:val="465"/>
        </w:trPr>
        <w:tc>
          <w:tcPr>
            <w:tcW w:w="1996"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Day Clinic</w:t>
            </w:r>
          </w:p>
        </w:tc>
        <w:tc>
          <w:tcPr>
            <w:tcW w:w="251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20"/>
              </w:rPr>
            </w:pPr>
          </w:p>
        </w:tc>
        <w:tc>
          <w:tcPr>
            <w:tcW w:w="205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20"/>
              </w:rPr>
            </w:pPr>
          </w:p>
        </w:tc>
        <w:tc>
          <w:tcPr>
            <w:tcW w:w="2337"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20"/>
              </w:rPr>
            </w:pP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7973 (94.5%)</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553 (86.7%)</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413 (93.4%)</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1</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313 (3.7%)</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35 (5.5%)</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10 (2.3%)</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2 or more</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152 (1.8%)</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47 (7.4%)</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19 (4.3%)</w:t>
            </w:r>
          </w:p>
        </w:tc>
      </w:tr>
      <w:tr w:rsidR="005330BF">
        <w:trPr>
          <w:trHeight w:val="465"/>
        </w:trPr>
        <w:tc>
          <w:tcPr>
            <w:tcW w:w="1996" w:type="dxa"/>
            <w:tcBorders>
              <w:top w:val="single" w:sz="4" w:space="0" w:color="000000"/>
              <w:bottom w:val="single" w:sz="4" w:space="0" w:color="000000"/>
            </w:tcBorders>
          </w:tcPr>
          <w:p w:rsidR="005330BF" w:rsidRDefault="00136814">
            <w:pPr>
              <w:pStyle w:val="TableParagraph"/>
              <w:rPr>
                <w:sz w:val="18"/>
              </w:rPr>
            </w:pPr>
            <w:r>
              <w:rPr>
                <w:sz w:val="18"/>
              </w:rPr>
              <w:t>Missing</w:t>
            </w:r>
          </w:p>
        </w:tc>
        <w:tc>
          <w:tcPr>
            <w:tcW w:w="2511" w:type="dxa"/>
            <w:tcBorders>
              <w:top w:val="single" w:sz="4" w:space="0" w:color="000000"/>
              <w:bottom w:val="single" w:sz="4" w:space="0" w:color="000000"/>
            </w:tcBorders>
          </w:tcPr>
          <w:p w:rsidR="005330BF" w:rsidRDefault="00136814">
            <w:pPr>
              <w:pStyle w:val="TableParagraph"/>
              <w:ind w:left="399"/>
              <w:rPr>
                <w:sz w:val="18"/>
              </w:rPr>
            </w:pPr>
            <w:r>
              <w:rPr>
                <w:sz w:val="18"/>
              </w:rPr>
              <w:t>2 (&lt; 1%)</w:t>
            </w:r>
          </w:p>
        </w:tc>
        <w:tc>
          <w:tcPr>
            <w:tcW w:w="2057" w:type="dxa"/>
            <w:tcBorders>
              <w:top w:val="single" w:sz="4" w:space="0" w:color="000000"/>
              <w:bottom w:val="single" w:sz="4" w:space="0" w:color="000000"/>
            </w:tcBorders>
          </w:tcPr>
          <w:p w:rsidR="005330BF" w:rsidRDefault="00136814">
            <w:pPr>
              <w:pStyle w:val="TableParagraph"/>
              <w:ind w:left="113"/>
              <w:rPr>
                <w:sz w:val="18"/>
              </w:rPr>
            </w:pPr>
            <w:r>
              <w:rPr>
                <w:sz w:val="18"/>
              </w:rPr>
              <w:t>3 (0.5%)</w:t>
            </w:r>
          </w:p>
        </w:tc>
        <w:tc>
          <w:tcPr>
            <w:tcW w:w="2337" w:type="dxa"/>
            <w:tcBorders>
              <w:top w:val="single" w:sz="4" w:space="0" w:color="000000"/>
              <w:bottom w:val="single" w:sz="4" w:space="0" w:color="000000"/>
            </w:tcBorders>
          </w:tcPr>
          <w:p w:rsidR="005330BF" w:rsidRDefault="00136814">
            <w:pPr>
              <w:pStyle w:val="TableParagraph"/>
              <w:ind w:left="282"/>
              <w:rPr>
                <w:sz w:val="18"/>
              </w:rPr>
            </w:pPr>
            <w:r>
              <w:rPr>
                <w:sz w:val="18"/>
              </w:rPr>
              <w:t>0 (0.0%)</w:t>
            </w:r>
          </w:p>
        </w:tc>
      </w:tr>
    </w:tbl>
    <w:p w:rsidR="005330BF" w:rsidRDefault="005330BF">
      <w:pPr>
        <w:pStyle w:val="BodyText"/>
        <w:spacing w:before="5"/>
        <w:ind w:left="0"/>
        <w:rPr>
          <w:sz w:val="29"/>
        </w:rPr>
      </w:pPr>
    </w:p>
    <w:p w:rsidR="005330BF" w:rsidRDefault="00136814">
      <w:pPr>
        <w:pStyle w:val="BodyText"/>
        <w:spacing w:before="60" w:line="278" w:lineRule="auto"/>
        <w:ind w:left="110" w:right="2111"/>
      </w:pPr>
      <w:r>
        <w:t>Age and sex adjusted incidence rate ratios were calculated to statistically compare the frequency of visits to healthcare professionals or hospitals.</w:t>
      </w:r>
    </w:p>
    <w:p w:rsidR="005330BF" w:rsidRDefault="00136814">
      <w:pPr>
        <w:pStyle w:val="BodyText"/>
        <w:spacing w:before="148"/>
        <w:ind w:left="110"/>
      </w:pPr>
      <w:r>
        <w:t xml:space="preserve">This data is presented in </w:t>
      </w:r>
      <w:hyperlink w:anchor="_bookmark40" w:history="1">
        <w:r>
          <w:rPr>
            <w:b/>
            <w:color w:val="25408F"/>
          </w:rPr>
          <w:t xml:space="preserve">Figure 10 </w:t>
        </w:r>
      </w:hyperlink>
      <w:r>
        <w:t>and shows that:</w:t>
      </w:r>
    </w:p>
    <w:p w:rsidR="005330BF" w:rsidRDefault="00136814">
      <w:pPr>
        <w:pStyle w:val="ListParagraph"/>
        <w:numPr>
          <w:ilvl w:val="0"/>
          <w:numId w:val="2"/>
        </w:numPr>
        <w:tabs>
          <w:tab w:val="left" w:pos="470"/>
          <w:tab w:val="left" w:pos="471"/>
        </w:tabs>
        <w:spacing w:before="190" w:line="278" w:lineRule="auto"/>
        <w:ind w:right="2232"/>
      </w:pPr>
      <w:r>
        <w:t>Both DSP and NSA groups had significant higher rate of visits to a GP or specialist than wage earners, with the DSP group having more than two times the rate of wage</w:t>
      </w:r>
      <w:r>
        <w:rPr>
          <w:spacing w:val="-3"/>
        </w:rPr>
        <w:t xml:space="preserve"> </w:t>
      </w:r>
      <w:r>
        <w:t>earners.</w:t>
      </w:r>
    </w:p>
    <w:p w:rsidR="005330BF" w:rsidRDefault="00136814">
      <w:pPr>
        <w:pStyle w:val="ListParagraph"/>
        <w:numPr>
          <w:ilvl w:val="0"/>
          <w:numId w:val="2"/>
        </w:numPr>
        <w:tabs>
          <w:tab w:val="left" w:pos="470"/>
          <w:tab w:val="left" w:pos="471"/>
        </w:tabs>
        <w:spacing w:before="1" w:line="278" w:lineRule="auto"/>
        <w:ind w:right="2085"/>
      </w:pPr>
      <w:r>
        <w:t>Visits to a dentist were significantly less frequent in those receiving NSA</w:t>
      </w:r>
      <w:r>
        <w:rPr>
          <w:spacing w:val="-44"/>
        </w:rPr>
        <w:t xml:space="preserve"> </w:t>
      </w:r>
      <w:r>
        <w:t>than wage earners, but there was no evidence of a difference between DSP recipients and wage</w:t>
      </w:r>
      <w:r>
        <w:rPr>
          <w:spacing w:val="-2"/>
        </w:rPr>
        <w:t xml:space="preserve"> </w:t>
      </w:r>
      <w:r>
        <w:t>earners.</w:t>
      </w:r>
    </w:p>
    <w:p w:rsidR="005330BF" w:rsidRDefault="00136814">
      <w:pPr>
        <w:pStyle w:val="ListParagraph"/>
        <w:numPr>
          <w:ilvl w:val="0"/>
          <w:numId w:val="2"/>
        </w:numPr>
        <w:tabs>
          <w:tab w:val="left" w:pos="470"/>
          <w:tab w:val="left" w:pos="471"/>
        </w:tabs>
        <w:spacing w:line="278" w:lineRule="auto"/>
        <w:ind w:right="1878"/>
      </w:pPr>
      <w:r>
        <w:t xml:space="preserve">People in the DSP group had over three times higher incidence than wage earners of hospital admission and four or more times higher incidence of visiting </w:t>
      </w:r>
      <w:r>
        <w:t>an outpatient clinic, emergency department of day clinic. A similar pattern was observed in NSA recipients though the differences from the wage earners group were less</w:t>
      </w:r>
      <w:r>
        <w:rPr>
          <w:spacing w:val="-21"/>
        </w:rPr>
        <w:t xml:space="preserve"> </w:t>
      </w:r>
      <w:r>
        <w:t>marked.</w:t>
      </w:r>
    </w:p>
    <w:p w:rsidR="005330BF" w:rsidRDefault="005330BF">
      <w:pPr>
        <w:spacing w:line="278" w:lineRule="auto"/>
        <w:sectPr w:rsidR="005330BF">
          <w:pgSz w:w="11910" w:h="16840"/>
          <w:pgMar w:top="1280" w:right="540" w:bottom="480" w:left="740" w:header="0" w:footer="290" w:gutter="0"/>
          <w:cols w:space="720"/>
        </w:sectPr>
      </w:pPr>
    </w:p>
    <w:p w:rsidR="005330BF" w:rsidRDefault="00136814">
      <w:pPr>
        <w:spacing w:before="38" w:line="268" w:lineRule="auto"/>
        <w:ind w:left="110" w:right="1627"/>
        <w:rPr>
          <w:b/>
          <w:sz w:val="18"/>
        </w:rPr>
      </w:pPr>
      <w:r>
        <w:rPr>
          <w:noProof/>
        </w:rPr>
        <w:drawing>
          <wp:anchor distT="0" distB="0" distL="0" distR="0" simplePos="0" relativeHeight="251655168" behindDoc="0" locked="0" layoutInCell="1" allowOverlap="1">
            <wp:simplePos x="0" y="0"/>
            <wp:positionH relativeFrom="page">
              <wp:posOffset>540004</wp:posOffset>
            </wp:positionH>
            <wp:positionV relativeFrom="paragraph">
              <wp:posOffset>385223</wp:posOffset>
            </wp:positionV>
            <wp:extent cx="5520749" cy="3911346"/>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5520749" cy="3911346"/>
                    </a:xfrm>
                    <a:prstGeom prst="rect">
                      <a:avLst/>
                    </a:prstGeom>
                  </pic:spPr>
                </pic:pic>
              </a:graphicData>
            </a:graphic>
          </wp:anchor>
        </w:drawing>
      </w:r>
      <w:bookmarkStart w:id="70" w:name="_bookmark40"/>
      <w:bookmarkStart w:id="71" w:name="MEDICATION_&amp;_SUPPLEMENT_USE"/>
      <w:bookmarkStart w:id="72" w:name="Figure_10._Age_and_sex_adjusted_incidenc"/>
      <w:bookmarkStart w:id="73" w:name="Table_8._Number_and_percentage_of_indivi"/>
      <w:bookmarkStart w:id="74" w:name="_bookmark39"/>
      <w:bookmarkEnd w:id="70"/>
      <w:bookmarkEnd w:id="71"/>
      <w:bookmarkEnd w:id="72"/>
      <w:bookmarkEnd w:id="73"/>
      <w:bookmarkEnd w:id="74"/>
      <w:r>
        <w:rPr>
          <w:b/>
          <w:color w:val="25408F"/>
          <w:sz w:val="18"/>
        </w:rPr>
        <w:t>Figure 10. Age and sex adjusted incidence rate ratios for the</w:t>
      </w:r>
      <w:r>
        <w:rPr>
          <w:b/>
          <w:color w:val="25408F"/>
          <w:sz w:val="18"/>
        </w:rPr>
        <w:t xml:space="preserve"> frequency of visits to a health professional or hospital in the past 12 months for DSP and NSA recipients compared to wage earners</w:t>
      </w:r>
    </w:p>
    <w:p w:rsidR="005330BF" w:rsidRDefault="005330BF">
      <w:pPr>
        <w:pStyle w:val="BodyText"/>
        <w:ind w:left="0"/>
        <w:rPr>
          <w:b/>
          <w:sz w:val="18"/>
        </w:rPr>
      </w:pPr>
    </w:p>
    <w:p w:rsidR="005330BF" w:rsidRDefault="005330BF">
      <w:pPr>
        <w:pStyle w:val="BodyText"/>
        <w:ind w:left="0"/>
        <w:rPr>
          <w:b/>
          <w:sz w:val="18"/>
        </w:rPr>
      </w:pPr>
    </w:p>
    <w:p w:rsidR="005330BF" w:rsidRDefault="00136814">
      <w:pPr>
        <w:pStyle w:val="Heading2"/>
        <w:spacing w:before="121"/>
        <w:ind w:left="110"/>
      </w:pPr>
      <w:r>
        <w:rPr>
          <w:color w:val="3B4D96"/>
        </w:rPr>
        <w:t>MEDICATION &amp; SUPPLEMENT USE</w:t>
      </w:r>
    </w:p>
    <w:p w:rsidR="005330BF" w:rsidRDefault="00136814">
      <w:pPr>
        <w:pStyle w:val="BodyText"/>
        <w:spacing w:before="185" w:line="278" w:lineRule="auto"/>
        <w:ind w:left="110" w:right="1628"/>
      </w:pPr>
      <w:r>
        <w:t>Finally, we examined the use of medicines and supplements in the previous two weeks in the thr</w:t>
      </w:r>
      <w:r>
        <w:t>ee study groups.</w:t>
      </w:r>
    </w:p>
    <w:p w:rsidR="005330BF" w:rsidRDefault="00136814">
      <w:pPr>
        <w:pStyle w:val="BodyText"/>
        <w:spacing w:before="150" w:line="278" w:lineRule="auto"/>
        <w:ind w:left="110" w:right="2013"/>
      </w:pPr>
      <w:r>
        <w:t xml:space="preserve">Eighty-six percent of DSP recipients had taken a medication in the previous two weeks, in comparison to 57% of NSA recipients and 46% of wage earners </w:t>
      </w:r>
      <w:hyperlink w:anchor="_bookmark40" w:history="1">
        <w:r>
          <w:rPr>
            <w:b/>
            <w:color w:val="25408F"/>
          </w:rPr>
          <w:t>Table 8</w:t>
        </w:r>
      </w:hyperlink>
      <w:r>
        <w:t>. In contrast, wage earners had the highest proport</w:t>
      </w:r>
      <w:r>
        <w:t>ion of individuals who had taken a supplement in the past two weeks (43%), while in DSP recipients the proportion was slightly lower at 41% and in NSA recipients 36%.</w:t>
      </w:r>
    </w:p>
    <w:p w:rsidR="005330BF" w:rsidRDefault="005330BF">
      <w:pPr>
        <w:pStyle w:val="BodyText"/>
        <w:ind w:left="0"/>
        <w:rPr>
          <w:sz w:val="20"/>
        </w:rPr>
      </w:pPr>
    </w:p>
    <w:p w:rsidR="005330BF" w:rsidRDefault="005330BF">
      <w:pPr>
        <w:pStyle w:val="BodyText"/>
        <w:ind w:left="0"/>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1988"/>
        <w:gridCol w:w="2117"/>
        <w:gridCol w:w="2118"/>
        <w:gridCol w:w="2677"/>
      </w:tblGrid>
      <w:tr w:rsidR="005330BF">
        <w:trPr>
          <w:trHeight w:val="583"/>
        </w:trPr>
        <w:tc>
          <w:tcPr>
            <w:tcW w:w="8900" w:type="dxa"/>
            <w:gridSpan w:val="4"/>
            <w:tcBorders>
              <w:bottom w:val="single" w:sz="4" w:space="0" w:color="000000"/>
            </w:tcBorders>
          </w:tcPr>
          <w:p w:rsidR="005330BF" w:rsidRDefault="00136814">
            <w:pPr>
              <w:pStyle w:val="TableParagraph"/>
              <w:spacing w:before="0" w:line="180" w:lineRule="exact"/>
              <w:rPr>
                <w:b/>
                <w:sz w:val="18"/>
              </w:rPr>
            </w:pPr>
            <w:r>
              <w:rPr>
                <w:b/>
                <w:color w:val="25408F"/>
                <w:sz w:val="18"/>
              </w:rPr>
              <w:t>TABLE 8. NUMBER AND PERCENTAGE OF INDIVIDUALS IN EACH GROUP WHO TOOK A</w:t>
            </w:r>
          </w:p>
          <w:p w:rsidR="005330BF" w:rsidRDefault="00136814">
            <w:pPr>
              <w:pStyle w:val="TableParagraph"/>
              <w:spacing w:before="65"/>
              <w:rPr>
                <w:b/>
                <w:sz w:val="18"/>
              </w:rPr>
            </w:pPr>
            <w:r>
              <w:rPr>
                <w:b/>
                <w:color w:val="25408F"/>
                <w:sz w:val="18"/>
              </w:rPr>
              <w:t>MEDICATION OR SU</w:t>
            </w:r>
            <w:r>
              <w:rPr>
                <w:b/>
                <w:color w:val="25408F"/>
                <w:sz w:val="18"/>
              </w:rPr>
              <w:t>PPLEMENT IN THE PREVIOUS 2 WEEKS</w:t>
            </w:r>
          </w:p>
        </w:tc>
      </w:tr>
      <w:tr w:rsidR="005330BF">
        <w:trPr>
          <w:trHeight w:val="705"/>
        </w:trPr>
        <w:tc>
          <w:tcPr>
            <w:tcW w:w="1988" w:type="dxa"/>
            <w:tcBorders>
              <w:top w:val="single" w:sz="4" w:space="0" w:color="000000"/>
              <w:bottom w:val="single" w:sz="4" w:space="0" w:color="000000"/>
            </w:tcBorders>
          </w:tcPr>
          <w:p w:rsidR="005330BF" w:rsidRDefault="00136814">
            <w:pPr>
              <w:pStyle w:val="TableParagraph"/>
              <w:spacing w:before="127" w:line="268" w:lineRule="auto"/>
              <w:ind w:right="387"/>
              <w:rPr>
                <w:b/>
                <w:sz w:val="18"/>
              </w:rPr>
            </w:pPr>
            <w:r>
              <w:rPr>
                <w:b/>
                <w:color w:val="25408F"/>
                <w:sz w:val="18"/>
              </w:rPr>
              <w:t>Medications and Supplements</w:t>
            </w:r>
          </w:p>
        </w:tc>
        <w:tc>
          <w:tcPr>
            <w:tcW w:w="2117" w:type="dxa"/>
            <w:tcBorders>
              <w:top w:val="single" w:sz="4" w:space="0" w:color="000000"/>
              <w:bottom w:val="single" w:sz="4" w:space="0" w:color="000000"/>
            </w:tcBorders>
          </w:tcPr>
          <w:p w:rsidR="005330BF" w:rsidRDefault="00136814">
            <w:pPr>
              <w:pStyle w:val="TableParagraph"/>
              <w:spacing w:before="127" w:line="268" w:lineRule="auto"/>
              <w:ind w:left="407"/>
              <w:rPr>
                <w:b/>
                <w:sz w:val="18"/>
              </w:rPr>
            </w:pPr>
            <w:r>
              <w:rPr>
                <w:b/>
                <w:color w:val="25408F"/>
                <w:sz w:val="18"/>
              </w:rPr>
              <w:t>Wage Earners (N=8440)</w:t>
            </w:r>
          </w:p>
        </w:tc>
        <w:tc>
          <w:tcPr>
            <w:tcW w:w="2118" w:type="dxa"/>
            <w:tcBorders>
              <w:top w:val="single" w:sz="4" w:space="0" w:color="000000"/>
              <w:bottom w:val="single" w:sz="4" w:space="0" w:color="000000"/>
            </w:tcBorders>
          </w:tcPr>
          <w:p w:rsidR="005330BF" w:rsidRDefault="00136814">
            <w:pPr>
              <w:pStyle w:val="TableParagraph"/>
              <w:spacing w:before="127" w:line="268" w:lineRule="auto"/>
              <w:ind w:left="515" w:right="622"/>
              <w:rPr>
                <w:b/>
                <w:sz w:val="18"/>
              </w:rPr>
            </w:pPr>
            <w:r>
              <w:rPr>
                <w:b/>
                <w:color w:val="25408F"/>
                <w:sz w:val="18"/>
              </w:rPr>
              <w:t>DSP Group (N=638)</w:t>
            </w:r>
          </w:p>
        </w:tc>
        <w:tc>
          <w:tcPr>
            <w:tcW w:w="2677" w:type="dxa"/>
            <w:tcBorders>
              <w:top w:val="single" w:sz="4" w:space="0" w:color="000000"/>
              <w:bottom w:val="single" w:sz="4" w:space="0" w:color="000000"/>
            </w:tcBorders>
          </w:tcPr>
          <w:p w:rsidR="005330BF" w:rsidRDefault="00136814">
            <w:pPr>
              <w:pStyle w:val="TableParagraph"/>
              <w:spacing w:before="127" w:line="268" w:lineRule="auto"/>
              <w:ind w:left="623" w:right="448"/>
              <w:rPr>
                <w:b/>
                <w:sz w:val="18"/>
              </w:rPr>
            </w:pPr>
            <w:r>
              <w:rPr>
                <w:b/>
                <w:color w:val="25408F"/>
                <w:sz w:val="18"/>
              </w:rPr>
              <w:t>NSA Group (N=442)</w:t>
            </w:r>
          </w:p>
        </w:tc>
      </w:tr>
      <w:tr w:rsidR="005330BF">
        <w:trPr>
          <w:trHeight w:val="465"/>
        </w:trPr>
        <w:tc>
          <w:tcPr>
            <w:tcW w:w="1988" w:type="dxa"/>
            <w:tcBorders>
              <w:top w:val="single" w:sz="4" w:space="0" w:color="000000"/>
              <w:bottom w:val="single" w:sz="4" w:space="0" w:color="000000"/>
            </w:tcBorders>
          </w:tcPr>
          <w:p w:rsidR="005330BF" w:rsidRDefault="00136814">
            <w:pPr>
              <w:pStyle w:val="TableParagraph"/>
              <w:rPr>
                <w:sz w:val="18"/>
              </w:rPr>
            </w:pPr>
            <w:r>
              <w:rPr>
                <w:sz w:val="18"/>
              </w:rPr>
              <w:t>Medications</w:t>
            </w:r>
          </w:p>
        </w:tc>
        <w:tc>
          <w:tcPr>
            <w:tcW w:w="2117" w:type="dxa"/>
            <w:tcBorders>
              <w:top w:val="single" w:sz="4" w:space="0" w:color="000000"/>
              <w:bottom w:val="single" w:sz="4" w:space="0" w:color="000000"/>
            </w:tcBorders>
          </w:tcPr>
          <w:p w:rsidR="005330BF" w:rsidRDefault="00136814">
            <w:pPr>
              <w:pStyle w:val="TableParagraph"/>
              <w:ind w:left="407"/>
              <w:rPr>
                <w:sz w:val="18"/>
              </w:rPr>
            </w:pPr>
            <w:r>
              <w:rPr>
                <w:sz w:val="18"/>
              </w:rPr>
              <w:t>3879 (46.0%)</w:t>
            </w:r>
          </w:p>
        </w:tc>
        <w:tc>
          <w:tcPr>
            <w:tcW w:w="2118" w:type="dxa"/>
            <w:tcBorders>
              <w:top w:val="single" w:sz="4" w:space="0" w:color="000000"/>
              <w:bottom w:val="single" w:sz="4" w:space="0" w:color="000000"/>
            </w:tcBorders>
          </w:tcPr>
          <w:p w:rsidR="005330BF" w:rsidRDefault="00136814">
            <w:pPr>
              <w:pStyle w:val="TableParagraph"/>
              <w:ind w:left="515"/>
              <w:rPr>
                <w:sz w:val="18"/>
              </w:rPr>
            </w:pPr>
            <w:r>
              <w:rPr>
                <w:sz w:val="18"/>
              </w:rPr>
              <w:t>551 (86.4%)</w:t>
            </w:r>
          </w:p>
        </w:tc>
        <w:tc>
          <w:tcPr>
            <w:tcW w:w="2677" w:type="dxa"/>
            <w:tcBorders>
              <w:top w:val="single" w:sz="4" w:space="0" w:color="000000"/>
              <w:bottom w:val="single" w:sz="4" w:space="0" w:color="000000"/>
            </w:tcBorders>
          </w:tcPr>
          <w:p w:rsidR="005330BF" w:rsidRDefault="00136814">
            <w:pPr>
              <w:pStyle w:val="TableParagraph"/>
              <w:ind w:left="623"/>
              <w:rPr>
                <w:sz w:val="18"/>
              </w:rPr>
            </w:pPr>
            <w:r>
              <w:rPr>
                <w:sz w:val="18"/>
              </w:rPr>
              <w:t>252 (57.0%)</w:t>
            </w:r>
          </w:p>
        </w:tc>
      </w:tr>
      <w:tr w:rsidR="005330BF">
        <w:trPr>
          <w:trHeight w:val="465"/>
        </w:trPr>
        <w:tc>
          <w:tcPr>
            <w:tcW w:w="1988" w:type="dxa"/>
            <w:tcBorders>
              <w:top w:val="single" w:sz="4" w:space="0" w:color="000000"/>
              <w:bottom w:val="single" w:sz="4" w:space="0" w:color="000000"/>
            </w:tcBorders>
          </w:tcPr>
          <w:p w:rsidR="005330BF" w:rsidRDefault="00136814">
            <w:pPr>
              <w:pStyle w:val="TableParagraph"/>
              <w:rPr>
                <w:sz w:val="18"/>
              </w:rPr>
            </w:pPr>
            <w:r>
              <w:rPr>
                <w:sz w:val="18"/>
              </w:rPr>
              <w:t>Supplements</w:t>
            </w:r>
          </w:p>
        </w:tc>
        <w:tc>
          <w:tcPr>
            <w:tcW w:w="2117" w:type="dxa"/>
            <w:tcBorders>
              <w:top w:val="single" w:sz="4" w:space="0" w:color="000000"/>
              <w:bottom w:val="single" w:sz="4" w:space="0" w:color="000000"/>
            </w:tcBorders>
          </w:tcPr>
          <w:p w:rsidR="005330BF" w:rsidRDefault="00136814">
            <w:pPr>
              <w:pStyle w:val="TableParagraph"/>
              <w:ind w:left="407"/>
              <w:rPr>
                <w:sz w:val="18"/>
              </w:rPr>
            </w:pPr>
            <w:r>
              <w:rPr>
                <w:sz w:val="18"/>
              </w:rPr>
              <w:t>3592 (42.6%)</w:t>
            </w:r>
          </w:p>
        </w:tc>
        <w:tc>
          <w:tcPr>
            <w:tcW w:w="2118" w:type="dxa"/>
            <w:tcBorders>
              <w:top w:val="single" w:sz="4" w:space="0" w:color="000000"/>
              <w:bottom w:val="single" w:sz="4" w:space="0" w:color="000000"/>
            </w:tcBorders>
          </w:tcPr>
          <w:p w:rsidR="005330BF" w:rsidRDefault="00136814">
            <w:pPr>
              <w:pStyle w:val="TableParagraph"/>
              <w:ind w:left="515"/>
              <w:rPr>
                <w:sz w:val="18"/>
              </w:rPr>
            </w:pPr>
            <w:r>
              <w:rPr>
                <w:sz w:val="18"/>
              </w:rPr>
              <w:t>261 (40.9%)</w:t>
            </w:r>
          </w:p>
        </w:tc>
        <w:tc>
          <w:tcPr>
            <w:tcW w:w="2677" w:type="dxa"/>
            <w:tcBorders>
              <w:top w:val="single" w:sz="4" w:space="0" w:color="000000"/>
              <w:bottom w:val="single" w:sz="4" w:space="0" w:color="000000"/>
            </w:tcBorders>
          </w:tcPr>
          <w:p w:rsidR="005330BF" w:rsidRDefault="00136814">
            <w:pPr>
              <w:pStyle w:val="TableParagraph"/>
              <w:ind w:left="623"/>
              <w:rPr>
                <w:sz w:val="18"/>
              </w:rPr>
            </w:pPr>
            <w:r>
              <w:rPr>
                <w:sz w:val="18"/>
              </w:rPr>
              <w:t>159 (36.0%)</w:t>
            </w:r>
          </w:p>
        </w:tc>
      </w:tr>
    </w:tbl>
    <w:p w:rsidR="005330BF" w:rsidRDefault="005330BF">
      <w:pPr>
        <w:rPr>
          <w:sz w:val="18"/>
        </w:rPr>
        <w:sectPr w:rsidR="005330BF">
          <w:pgSz w:w="11910" w:h="16840"/>
          <w:pgMar w:top="1040" w:right="540" w:bottom="560" w:left="740" w:header="0" w:footer="290" w:gutter="0"/>
          <w:cols w:space="720"/>
        </w:sectPr>
      </w:pPr>
    </w:p>
    <w:p w:rsidR="005330BF" w:rsidRDefault="00136814">
      <w:pPr>
        <w:pStyle w:val="BodyText"/>
        <w:spacing w:before="47" w:line="278" w:lineRule="auto"/>
        <w:ind w:left="110" w:right="1842"/>
      </w:pPr>
      <w:bookmarkStart w:id="75" w:name="_bookmark42"/>
      <w:bookmarkStart w:id="76" w:name="Figure_11._Age_and_sex_adjusted_risk_rat"/>
      <w:bookmarkStart w:id="77" w:name="_bookmark41"/>
      <w:bookmarkEnd w:id="75"/>
      <w:bookmarkEnd w:id="76"/>
      <w:bookmarkEnd w:id="77"/>
      <w:r>
        <w:t xml:space="preserve">After age and sex adjustment, the risk of any medication use in DSP recipients was three times that for wage earners and slightly but significantly elevated for NSA recipients compared with wage earners </w:t>
      </w:r>
      <w:hyperlink w:anchor="_bookmark42" w:history="1">
        <w:r>
          <w:rPr>
            <w:b/>
            <w:color w:val="25408F"/>
          </w:rPr>
          <w:t>Figure 11</w:t>
        </w:r>
        <w:r>
          <w:t>.</w:t>
        </w:r>
      </w:hyperlink>
    </w:p>
    <w:p w:rsidR="005330BF" w:rsidRDefault="00136814">
      <w:pPr>
        <w:pStyle w:val="BodyText"/>
        <w:spacing w:before="146" w:line="278" w:lineRule="auto"/>
        <w:ind w:left="110" w:right="1548"/>
      </w:pPr>
      <w:r>
        <w:t>For supplement use the risk was in the opposite direction with both DSP recipients and NSA recipients having significantly lower risk of supplement use compared with wage earners.</w:t>
      </w:r>
    </w:p>
    <w:p w:rsidR="005330BF" w:rsidRDefault="005330BF">
      <w:pPr>
        <w:pStyle w:val="BodyText"/>
        <w:spacing w:before="1"/>
        <w:ind w:left="0"/>
        <w:rPr>
          <w:sz w:val="17"/>
        </w:rPr>
      </w:pPr>
    </w:p>
    <w:p w:rsidR="005330BF" w:rsidRDefault="00136814">
      <w:pPr>
        <w:spacing w:line="268" w:lineRule="auto"/>
        <w:ind w:left="110" w:right="2415"/>
        <w:rPr>
          <w:b/>
          <w:sz w:val="18"/>
        </w:rPr>
      </w:pPr>
      <w:r>
        <w:rPr>
          <w:b/>
          <w:color w:val="25408F"/>
          <w:sz w:val="18"/>
        </w:rPr>
        <w:t>Figure 11. Age and sex adjusted risk ratios for having taken at least one m</w:t>
      </w:r>
      <w:r>
        <w:rPr>
          <w:b/>
          <w:color w:val="25408F"/>
          <w:sz w:val="18"/>
        </w:rPr>
        <w:t>edication or supplement in the previous two weeks in DSP and NSA recipients compared to wage earners</w:t>
      </w:r>
    </w:p>
    <w:p w:rsidR="005330BF" w:rsidRDefault="00136814">
      <w:pPr>
        <w:pStyle w:val="BodyText"/>
        <w:spacing w:before="5"/>
        <w:ind w:left="0"/>
        <w:rPr>
          <w:b/>
          <w:sz w:val="23"/>
        </w:rPr>
      </w:pPr>
      <w:r>
        <w:rPr>
          <w:noProof/>
        </w:rPr>
        <w:drawing>
          <wp:anchor distT="0" distB="0" distL="0" distR="0" simplePos="0" relativeHeight="251656192" behindDoc="0" locked="0" layoutInCell="1" allowOverlap="1">
            <wp:simplePos x="0" y="0"/>
            <wp:positionH relativeFrom="page">
              <wp:posOffset>575297</wp:posOffset>
            </wp:positionH>
            <wp:positionV relativeFrom="paragraph">
              <wp:posOffset>202287</wp:posOffset>
            </wp:positionV>
            <wp:extent cx="4713989" cy="338737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4713989" cy="3387375"/>
                    </a:xfrm>
                    <a:prstGeom prst="rect">
                      <a:avLst/>
                    </a:prstGeom>
                  </pic:spPr>
                </pic:pic>
              </a:graphicData>
            </a:graphic>
          </wp:anchor>
        </w:drawing>
      </w:r>
    </w:p>
    <w:p w:rsidR="005330BF" w:rsidRDefault="005330BF">
      <w:pPr>
        <w:pStyle w:val="BodyText"/>
        <w:ind w:left="0"/>
        <w:rPr>
          <w:b/>
          <w:sz w:val="18"/>
        </w:rPr>
      </w:pPr>
    </w:p>
    <w:p w:rsidR="005330BF" w:rsidRDefault="005330BF">
      <w:pPr>
        <w:pStyle w:val="BodyText"/>
        <w:spacing w:before="5"/>
        <w:ind w:left="0"/>
        <w:rPr>
          <w:b/>
          <w:sz w:val="14"/>
        </w:rPr>
      </w:pPr>
    </w:p>
    <w:p w:rsidR="005330BF" w:rsidRDefault="00136814">
      <w:pPr>
        <w:pStyle w:val="BodyText"/>
        <w:spacing w:line="278" w:lineRule="auto"/>
        <w:ind w:left="110" w:right="1647"/>
      </w:pPr>
      <w:r>
        <w:t>The NHS includes data on the number of medications or supplements taken in the past two weeks. We analysed this data to describe the prevalence of taki</w:t>
      </w:r>
      <w:r>
        <w:t xml:space="preserve">ng multiple medicines in the DSP and NSA groups. The number and percentage of each group reporting no use, one medicine or supplement, two to five, or six or more is presented in </w:t>
      </w:r>
      <w:hyperlink w:anchor="_bookmark44" w:history="1">
        <w:r>
          <w:rPr>
            <w:b/>
            <w:color w:val="25408F"/>
            <w:spacing w:val="-4"/>
          </w:rPr>
          <w:t>Table</w:t>
        </w:r>
        <w:r>
          <w:rPr>
            <w:b/>
            <w:color w:val="25408F"/>
            <w:spacing w:val="-14"/>
          </w:rPr>
          <w:t xml:space="preserve"> </w:t>
        </w:r>
        <w:r>
          <w:rPr>
            <w:b/>
            <w:color w:val="25408F"/>
          </w:rPr>
          <w:t>9</w:t>
        </w:r>
      </w:hyperlink>
      <w:r>
        <w:t>.</w:t>
      </w:r>
    </w:p>
    <w:p w:rsidR="005330BF" w:rsidRDefault="00136814">
      <w:pPr>
        <w:pStyle w:val="BodyText"/>
        <w:spacing w:line="255" w:lineRule="exact"/>
        <w:ind w:left="110"/>
      </w:pPr>
      <w:r>
        <w:t>These results show that:</w:t>
      </w:r>
    </w:p>
    <w:p w:rsidR="005330BF" w:rsidRDefault="00136814">
      <w:pPr>
        <w:pStyle w:val="ListParagraph"/>
        <w:numPr>
          <w:ilvl w:val="0"/>
          <w:numId w:val="2"/>
        </w:numPr>
        <w:tabs>
          <w:tab w:val="left" w:pos="470"/>
          <w:tab w:val="left" w:pos="471"/>
        </w:tabs>
        <w:spacing w:before="191" w:line="278" w:lineRule="auto"/>
        <w:ind w:right="1878"/>
      </w:pPr>
      <w:r>
        <w:t xml:space="preserve">Seventy-two </w:t>
      </w:r>
      <w:r>
        <w:t>percent of DSP recipients reported taking multiple medications and 28% reported taking more than five medications in the past two</w:t>
      </w:r>
      <w:r>
        <w:rPr>
          <w:spacing w:val="-5"/>
        </w:rPr>
        <w:t xml:space="preserve"> </w:t>
      </w:r>
      <w:r>
        <w:t>weeks.</w:t>
      </w:r>
    </w:p>
    <w:p w:rsidR="005330BF" w:rsidRDefault="00136814">
      <w:pPr>
        <w:pStyle w:val="ListParagraph"/>
        <w:numPr>
          <w:ilvl w:val="0"/>
          <w:numId w:val="2"/>
        </w:numPr>
        <w:tabs>
          <w:tab w:val="left" w:pos="470"/>
          <w:tab w:val="left" w:pos="471"/>
        </w:tabs>
        <w:spacing w:before="1" w:line="278" w:lineRule="auto"/>
        <w:ind w:right="1997"/>
      </w:pPr>
      <w:r>
        <w:t>The proportion of NSA recipients and wage earners taking multiple medications</w:t>
      </w:r>
      <w:r>
        <w:rPr>
          <w:spacing w:val="-42"/>
        </w:rPr>
        <w:t xml:space="preserve"> </w:t>
      </w:r>
      <w:r>
        <w:t>was lower at 36% in NSA recipients and 23</w:t>
      </w:r>
      <w:r>
        <w:t>% among wage</w:t>
      </w:r>
      <w:r>
        <w:rPr>
          <w:spacing w:val="-27"/>
        </w:rPr>
        <w:t xml:space="preserve"> </w:t>
      </w:r>
      <w:r>
        <w:t>earners.</w:t>
      </w:r>
    </w:p>
    <w:p w:rsidR="005330BF" w:rsidRDefault="00136814">
      <w:pPr>
        <w:pStyle w:val="ListParagraph"/>
        <w:numPr>
          <w:ilvl w:val="0"/>
          <w:numId w:val="2"/>
        </w:numPr>
        <w:tabs>
          <w:tab w:val="left" w:pos="470"/>
          <w:tab w:val="left" w:pos="471"/>
        </w:tabs>
      </w:pPr>
      <w:r>
        <w:t>The number of supplements taken was quite similar across all</w:t>
      </w:r>
      <w:r>
        <w:rPr>
          <w:spacing w:val="-10"/>
        </w:rPr>
        <w:t xml:space="preserve"> </w:t>
      </w:r>
      <w:r>
        <w:t>groups.</w:t>
      </w:r>
    </w:p>
    <w:p w:rsidR="005330BF" w:rsidRDefault="005330BF">
      <w:pPr>
        <w:sectPr w:rsidR="005330BF">
          <w:pgSz w:w="11910" w:h="16840"/>
          <w:pgMar w:top="1160" w:right="540" w:bottom="560" w:left="740" w:header="0" w:footer="29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3195"/>
        <w:gridCol w:w="2131"/>
        <w:gridCol w:w="1631"/>
        <w:gridCol w:w="1946"/>
      </w:tblGrid>
      <w:tr w:rsidR="005330BF">
        <w:trPr>
          <w:trHeight w:val="583"/>
        </w:trPr>
        <w:tc>
          <w:tcPr>
            <w:tcW w:w="8903" w:type="dxa"/>
            <w:gridSpan w:val="4"/>
            <w:tcBorders>
              <w:bottom w:val="single" w:sz="4" w:space="0" w:color="000000"/>
            </w:tcBorders>
          </w:tcPr>
          <w:p w:rsidR="005330BF" w:rsidRDefault="00136814">
            <w:pPr>
              <w:pStyle w:val="TableParagraph"/>
              <w:spacing w:before="0" w:line="180" w:lineRule="exact"/>
              <w:rPr>
                <w:b/>
                <w:sz w:val="18"/>
              </w:rPr>
            </w:pPr>
            <w:bookmarkStart w:id="78" w:name="Figure_12._Age_and_sex_adjusted_incidenc"/>
            <w:bookmarkStart w:id="79" w:name="Table_9._Number_and_percentage_of_indivi"/>
            <w:bookmarkStart w:id="80" w:name="_bookmark43"/>
            <w:bookmarkEnd w:id="78"/>
            <w:bookmarkEnd w:id="79"/>
            <w:bookmarkEnd w:id="80"/>
            <w:r>
              <w:rPr>
                <w:b/>
                <w:color w:val="25408F"/>
                <w:sz w:val="18"/>
              </w:rPr>
              <w:t>TABLE 9. NUMBER AND PERCENTAGE OF INDIVIDUALS IN EACH GROUP TAKING NONE, ONE OR</w:t>
            </w:r>
          </w:p>
          <w:p w:rsidR="005330BF" w:rsidRDefault="00136814">
            <w:pPr>
              <w:pStyle w:val="TableParagraph"/>
              <w:spacing w:before="65"/>
              <w:rPr>
                <w:b/>
                <w:sz w:val="18"/>
              </w:rPr>
            </w:pPr>
            <w:r>
              <w:rPr>
                <w:b/>
                <w:color w:val="25408F"/>
                <w:sz w:val="18"/>
              </w:rPr>
              <w:t>MULTIPLE MEDICINES OR SUPPLEMENTS IN THE PREVIOUS 2 WEEKS</w:t>
            </w:r>
          </w:p>
        </w:tc>
      </w:tr>
      <w:tr w:rsidR="005330BF">
        <w:trPr>
          <w:trHeight w:val="705"/>
        </w:trPr>
        <w:tc>
          <w:tcPr>
            <w:tcW w:w="3195" w:type="dxa"/>
            <w:tcBorders>
              <w:top w:val="single" w:sz="4" w:space="0" w:color="000000"/>
              <w:bottom w:val="single" w:sz="4" w:space="0" w:color="000000"/>
            </w:tcBorders>
          </w:tcPr>
          <w:p w:rsidR="005330BF" w:rsidRDefault="00136814">
            <w:pPr>
              <w:pStyle w:val="TableParagraph"/>
              <w:spacing w:before="127" w:line="268" w:lineRule="auto"/>
              <w:ind w:right="644"/>
              <w:rPr>
                <w:b/>
                <w:sz w:val="18"/>
              </w:rPr>
            </w:pPr>
            <w:r>
              <w:rPr>
                <w:b/>
                <w:color w:val="25408F"/>
                <w:sz w:val="18"/>
              </w:rPr>
              <w:t>Number of Medications and Supplements taken</w:t>
            </w:r>
          </w:p>
        </w:tc>
        <w:tc>
          <w:tcPr>
            <w:tcW w:w="2131" w:type="dxa"/>
            <w:tcBorders>
              <w:top w:val="single" w:sz="4" w:space="0" w:color="000000"/>
              <w:bottom w:val="single" w:sz="4" w:space="0" w:color="000000"/>
            </w:tcBorders>
          </w:tcPr>
          <w:p w:rsidR="005330BF" w:rsidRDefault="00136814">
            <w:pPr>
              <w:pStyle w:val="TableParagraph"/>
              <w:spacing w:before="127" w:line="268" w:lineRule="auto"/>
              <w:ind w:left="714" w:hanging="51"/>
              <w:rPr>
                <w:b/>
                <w:sz w:val="18"/>
              </w:rPr>
            </w:pPr>
            <w:r>
              <w:rPr>
                <w:b/>
                <w:color w:val="25408F"/>
                <w:sz w:val="18"/>
              </w:rPr>
              <w:t>Wage Earners (N=8440)</w:t>
            </w:r>
          </w:p>
        </w:tc>
        <w:tc>
          <w:tcPr>
            <w:tcW w:w="1631" w:type="dxa"/>
            <w:tcBorders>
              <w:top w:val="single" w:sz="4" w:space="0" w:color="000000"/>
              <w:bottom w:val="single" w:sz="4" w:space="0" w:color="000000"/>
            </w:tcBorders>
          </w:tcPr>
          <w:p w:rsidR="005330BF" w:rsidRDefault="00136814">
            <w:pPr>
              <w:pStyle w:val="TableParagraph"/>
              <w:spacing w:before="127" w:line="268" w:lineRule="auto"/>
              <w:ind w:left="270"/>
              <w:rPr>
                <w:b/>
                <w:sz w:val="18"/>
              </w:rPr>
            </w:pPr>
            <w:r>
              <w:rPr>
                <w:b/>
                <w:color w:val="25408F"/>
                <w:sz w:val="18"/>
              </w:rPr>
              <w:t>DSP Group (N=638)</w:t>
            </w:r>
          </w:p>
        </w:tc>
        <w:tc>
          <w:tcPr>
            <w:tcW w:w="1946" w:type="dxa"/>
            <w:tcBorders>
              <w:top w:val="single" w:sz="4" w:space="0" w:color="000000"/>
              <w:bottom w:val="single" w:sz="4" w:space="0" w:color="000000"/>
            </w:tcBorders>
          </w:tcPr>
          <w:p w:rsidR="005330BF" w:rsidRDefault="00136814">
            <w:pPr>
              <w:pStyle w:val="TableParagraph"/>
              <w:spacing w:before="127" w:line="268" w:lineRule="auto"/>
              <w:ind w:left="377"/>
              <w:rPr>
                <w:b/>
                <w:sz w:val="18"/>
              </w:rPr>
            </w:pPr>
            <w:r>
              <w:rPr>
                <w:b/>
                <w:color w:val="25408F"/>
                <w:sz w:val="18"/>
              </w:rPr>
              <w:t>NSA Group (N=442)</w:t>
            </w:r>
          </w:p>
        </w:tc>
      </w:tr>
      <w:tr w:rsidR="005330BF">
        <w:trPr>
          <w:trHeight w:val="465"/>
        </w:trPr>
        <w:tc>
          <w:tcPr>
            <w:tcW w:w="3195"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Medications</w:t>
            </w:r>
          </w:p>
        </w:tc>
        <w:tc>
          <w:tcPr>
            <w:tcW w:w="213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8"/>
              </w:rPr>
            </w:pPr>
          </w:p>
        </w:tc>
        <w:tc>
          <w:tcPr>
            <w:tcW w:w="163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8"/>
              </w:rPr>
            </w:pPr>
          </w:p>
        </w:tc>
        <w:tc>
          <w:tcPr>
            <w:tcW w:w="1946"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8"/>
              </w:rPr>
            </w:pP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4561 (54.0%)</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87 (13.6%)</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190 (43.0%)</w:t>
            </w: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1</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1978 (23.4%)</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90 (14.1%)</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93 (21.0%)</w:t>
            </w: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2 to 5</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1773 (21.0%)</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281 (44.0%)</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132 (29.9%)</w:t>
            </w: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6 or more</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128 (1.5%)</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180 (28.2%)</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27 (6.1%)</w:t>
            </w:r>
          </w:p>
        </w:tc>
      </w:tr>
      <w:tr w:rsidR="005330BF">
        <w:trPr>
          <w:trHeight w:val="465"/>
        </w:trPr>
        <w:tc>
          <w:tcPr>
            <w:tcW w:w="3195" w:type="dxa"/>
            <w:tcBorders>
              <w:top w:val="single" w:sz="4" w:space="0" w:color="000000"/>
              <w:bottom w:val="single" w:sz="4" w:space="0" w:color="000000"/>
            </w:tcBorders>
            <w:shd w:val="clear" w:color="auto" w:fill="E2EBF0"/>
          </w:tcPr>
          <w:p w:rsidR="005330BF" w:rsidRDefault="00136814">
            <w:pPr>
              <w:pStyle w:val="TableParagraph"/>
              <w:spacing w:before="127"/>
              <w:rPr>
                <w:b/>
                <w:sz w:val="18"/>
              </w:rPr>
            </w:pPr>
            <w:r>
              <w:rPr>
                <w:b/>
                <w:sz w:val="18"/>
              </w:rPr>
              <w:t>Supplements</w:t>
            </w:r>
          </w:p>
        </w:tc>
        <w:tc>
          <w:tcPr>
            <w:tcW w:w="213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8"/>
              </w:rPr>
            </w:pPr>
          </w:p>
        </w:tc>
        <w:tc>
          <w:tcPr>
            <w:tcW w:w="1631"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8"/>
              </w:rPr>
            </w:pPr>
          </w:p>
        </w:tc>
        <w:tc>
          <w:tcPr>
            <w:tcW w:w="1946" w:type="dxa"/>
            <w:tcBorders>
              <w:top w:val="single" w:sz="4" w:space="0" w:color="000000"/>
              <w:bottom w:val="single" w:sz="4" w:space="0" w:color="000000"/>
            </w:tcBorders>
            <w:shd w:val="clear" w:color="auto" w:fill="E2EBF0"/>
          </w:tcPr>
          <w:p w:rsidR="005330BF" w:rsidRDefault="005330BF">
            <w:pPr>
              <w:pStyle w:val="TableParagraph"/>
              <w:spacing w:before="0"/>
              <w:ind w:left="0"/>
              <w:rPr>
                <w:rFonts w:ascii="Times New Roman"/>
                <w:sz w:val="18"/>
              </w:rPr>
            </w:pP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0</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4848 (57.4%)</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377 (59.1%)</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283 (64.0%)</w:t>
            </w: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1</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1692 (20.0%)</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122 (19.1%)</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76 (17.2%)</w:t>
            </w: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2 to 5</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1785 (21.1%)</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131 (20.5%)</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74 (16.7%)</w:t>
            </w:r>
          </w:p>
        </w:tc>
      </w:tr>
      <w:tr w:rsidR="005330BF">
        <w:trPr>
          <w:trHeight w:val="465"/>
        </w:trPr>
        <w:tc>
          <w:tcPr>
            <w:tcW w:w="3195" w:type="dxa"/>
            <w:tcBorders>
              <w:top w:val="single" w:sz="4" w:space="0" w:color="000000"/>
              <w:bottom w:val="single" w:sz="4" w:space="0" w:color="000000"/>
            </w:tcBorders>
          </w:tcPr>
          <w:p w:rsidR="005330BF" w:rsidRDefault="00136814">
            <w:pPr>
              <w:pStyle w:val="TableParagraph"/>
              <w:rPr>
                <w:sz w:val="18"/>
              </w:rPr>
            </w:pPr>
            <w:r>
              <w:rPr>
                <w:sz w:val="18"/>
              </w:rPr>
              <w:t>6 or more</w:t>
            </w:r>
          </w:p>
        </w:tc>
        <w:tc>
          <w:tcPr>
            <w:tcW w:w="2131" w:type="dxa"/>
            <w:tcBorders>
              <w:top w:val="single" w:sz="4" w:space="0" w:color="000000"/>
              <w:bottom w:val="single" w:sz="4" w:space="0" w:color="000000"/>
            </w:tcBorders>
          </w:tcPr>
          <w:p w:rsidR="005330BF" w:rsidRDefault="00136814">
            <w:pPr>
              <w:pStyle w:val="TableParagraph"/>
              <w:ind w:left="664"/>
              <w:rPr>
                <w:sz w:val="18"/>
              </w:rPr>
            </w:pPr>
            <w:r>
              <w:rPr>
                <w:sz w:val="18"/>
              </w:rPr>
              <w:t>115 (1.4%)</w:t>
            </w:r>
          </w:p>
        </w:tc>
        <w:tc>
          <w:tcPr>
            <w:tcW w:w="1631" w:type="dxa"/>
            <w:tcBorders>
              <w:top w:val="single" w:sz="4" w:space="0" w:color="000000"/>
              <w:bottom w:val="single" w:sz="4" w:space="0" w:color="000000"/>
            </w:tcBorders>
          </w:tcPr>
          <w:p w:rsidR="005330BF" w:rsidRDefault="00136814">
            <w:pPr>
              <w:pStyle w:val="TableParagraph"/>
              <w:ind w:left="270"/>
              <w:rPr>
                <w:sz w:val="18"/>
              </w:rPr>
            </w:pPr>
            <w:r>
              <w:rPr>
                <w:sz w:val="18"/>
              </w:rPr>
              <w:t>8 (1.3%)</w:t>
            </w:r>
          </w:p>
        </w:tc>
        <w:tc>
          <w:tcPr>
            <w:tcW w:w="1946" w:type="dxa"/>
            <w:tcBorders>
              <w:top w:val="single" w:sz="4" w:space="0" w:color="000000"/>
              <w:bottom w:val="single" w:sz="4" w:space="0" w:color="000000"/>
            </w:tcBorders>
          </w:tcPr>
          <w:p w:rsidR="005330BF" w:rsidRDefault="00136814">
            <w:pPr>
              <w:pStyle w:val="TableParagraph"/>
              <w:ind w:left="377"/>
              <w:rPr>
                <w:sz w:val="18"/>
              </w:rPr>
            </w:pPr>
            <w:r>
              <w:rPr>
                <w:sz w:val="18"/>
              </w:rPr>
              <w:t>9 (2.0%)</w:t>
            </w:r>
          </w:p>
        </w:tc>
      </w:tr>
    </w:tbl>
    <w:p w:rsidR="005330BF" w:rsidRDefault="005330BF">
      <w:pPr>
        <w:pStyle w:val="BodyText"/>
        <w:spacing w:before="9"/>
        <w:ind w:left="0"/>
        <w:rPr>
          <w:sz w:val="21"/>
        </w:rPr>
      </w:pPr>
    </w:p>
    <w:p w:rsidR="005330BF" w:rsidRDefault="00136814">
      <w:pPr>
        <w:pStyle w:val="BodyText"/>
        <w:spacing w:before="60" w:line="278" w:lineRule="auto"/>
        <w:ind w:left="110" w:right="2111"/>
      </w:pPr>
      <w:bookmarkStart w:id="81" w:name="_bookmark44"/>
      <w:bookmarkEnd w:id="81"/>
      <w:r>
        <w:t>Age and sex adjusted incidence rate ratios were calculated to statistically compare the number of different types of medications and supplements used.</w:t>
      </w:r>
    </w:p>
    <w:p w:rsidR="005330BF" w:rsidRDefault="00136814">
      <w:pPr>
        <w:pStyle w:val="BodyText"/>
        <w:spacing w:line="260" w:lineRule="exact"/>
        <w:ind w:left="110"/>
      </w:pPr>
      <w:r>
        <w:t xml:space="preserve">This data is presented in </w:t>
      </w:r>
      <w:hyperlink w:anchor="_bookmark44" w:history="1">
        <w:r>
          <w:rPr>
            <w:b/>
            <w:color w:val="25408F"/>
          </w:rPr>
          <w:t>Figure 1</w:t>
        </w:r>
      </w:hyperlink>
      <w:r>
        <w:rPr>
          <w:b/>
          <w:color w:val="25408F"/>
        </w:rPr>
        <w:t xml:space="preserve">2 </w:t>
      </w:r>
      <w:r>
        <w:t>and shows that:</w:t>
      </w:r>
    </w:p>
    <w:p w:rsidR="005330BF" w:rsidRDefault="00136814">
      <w:pPr>
        <w:pStyle w:val="ListParagraph"/>
        <w:numPr>
          <w:ilvl w:val="0"/>
          <w:numId w:val="2"/>
        </w:numPr>
        <w:tabs>
          <w:tab w:val="left" w:pos="470"/>
          <w:tab w:val="left" w:pos="471"/>
        </w:tabs>
        <w:spacing w:before="190" w:line="278" w:lineRule="auto"/>
        <w:ind w:right="2011"/>
      </w:pPr>
      <w:r>
        <w:t>People in the DSP grou</w:t>
      </w:r>
      <w:r>
        <w:t>p reported three times the rate of using multiple medications than wage</w:t>
      </w:r>
      <w:r>
        <w:rPr>
          <w:spacing w:val="-2"/>
        </w:rPr>
        <w:t xml:space="preserve"> </w:t>
      </w:r>
      <w:r>
        <w:t>earners.</w:t>
      </w:r>
    </w:p>
    <w:p w:rsidR="005330BF" w:rsidRDefault="00136814">
      <w:pPr>
        <w:pStyle w:val="ListParagraph"/>
        <w:numPr>
          <w:ilvl w:val="0"/>
          <w:numId w:val="2"/>
        </w:numPr>
        <w:tabs>
          <w:tab w:val="left" w:pos="470"/>
          <w:tab w:val="left" w:pos="471"/>
        </w:tabs>
        <w:spacing w:before="1" w:line="278" w:lineRule="auto"/>
        <w:ind w:right="1755"/>
      </w:pPr>
      <w:r>
        <w:t>The incidence rate for multiple medicine use was also significantly higher in NSA recipients compared with wage earners, though the effect is less pronounced than that for DSP</w:t>
      </w:r>
      <w:r>
        <w:rPr>
          <w:spacing w:val="-5"/>
        </w:rPr>
        <w:t xml:space="preserve"> </w:t>
      </w:r>
      <w:r>
        <w:t>recipients</w:t>
      </w:r>
    </w:p>
    <w:p w:rsidR="005330BF" w:rsidRDefault="00136814">
      <w:pPr>
        <w:pStyle w:val="ListParagraph"/>
        <w:numPr>
          <w:ilvl w:val="0"/>
          <w:numId w:val="2"/>
        </w:numPr>
        <w:tabs>
          <w:tab w:val="left" w:pos="470"/>
          <w:tab w:val="left" w:pos="471"/>
        </w:tabs>
        <w:spacing w:line="278" w:lineRule="auto"/>
        <w:ind w:right="1973"/>
      </w:pPr>
      <w:r>
        <w:t>The incidence rate of supplement use in reference to wage earners was significantly lower in both DSP recipients and NSA</w:t>
      </w:r>
      <w:r>
        <w:rPr>
          <w:spacing w:val="-22"/>
        </w:rPr>
        <w:t xml:space="preserve"> </w:t>
      </w:r>
      <w:r>
        <w:t>recipients.</w:t>
      </w:r>
    </w:p>
    <w:p w:rsidR="005330BF" w:rsidRDefault="005330BF">
      <w:pPr>
        <w:pStyle w:val="BodyText"/>
        <w:ind w:left="0"/>
      </w:pPr>
    </w:p>
    <w:p w:rsidR="005330BF" w:rsidRDefault="00136814">
      <w:pPr>
        <w:spacing w:before="174" w:line="268" w:lineRule="auto"/>
        <w:ind w:left="6896" w:right="82"/>
        <w:rPr>
          <w:b/>
          <w:sz w:val="18"/>
        </w:rPr>
      </w:pPr>
      <w:r>
        <w:rPr>
          <w:noProof/>
        </w:rPr>
        <w:drawing>
          <wp:anchor distT="0" distB="0" distL="0" distR="0" simplePos="0" relativeHeight="251666432" behindDoc="0" locked="0" layoutInCell="1" allowOverlap="1">
            <wp:simplePos x="0" y="0"/>
            <wp:positionH relativeFrom="page">
              <wp:posOffset>572072</wp:posOffset>
            </wp:positionH>
            <wp:positionV relativeFrom="paragraph">
              <wp:posOffset>52987</wp:posOffset>
            </wp:positionV>
            <wp:extent cx="4124491" cy="2963823"/>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4124491" cy="2963823"/>
                    </a:xfrm>
                    <a:prstGeom prst="rect">
                      <a:avLst/>
                    </a:prstGeom>
                  </pic:spPr>
                </pic:pic>
              </a:graphicData>
            </a:graphic>
          </wp:anchor>
        </w:drawing>
      </w:r>
      <w:r>
        <w:rPr>
          <w:b/>
          <w:color w:val="25408F"/>
          <w:sz w:val="18"/>
        </w:rPr>
        <w:t xml:space="preserve">Figure 12. Age and sex adjusted incidence rate ratios for the number of different medications or supplements </w:t>
      </w:r>
      <w:r>
        <w:rPr>
          <w:b/>
          <w:color w:val="25408F"/>
          <w:sz w:val="18"/>
        </w:rPr>
        <w:t>taken in the past two weeks for DSP and NSA recipients compared to wage earners</w:t>
      </w:r>
    </w:p>
    <w:p w:rsidR="005330BF" w:rsidRDefault="005330BF">
      <w:pPr>
        <w:spacing w:line="268" w:lineRule="auto"/>
        <w:rPr>
          <w:sz w:val="18"/>
        </w:rPr>
        <w:sectPr w:rsidR="005330BF">
          <w:pgSz w:w="11910" w:h="16840"/>
          <w:pgMar w:top="1280" w:right="540" w:bottom="560" w:left="740" w:header="0" w:footer="290" w:gutter="0"/>
          <w:cols w:space="720"/>
        </w:sectPr>
      </w:pPr>
    </w:p>
    <w:p w:rsidR="005330BF" w:rsidRDefault="00136814">
      <w:pPr>
        <w:pStyle w:val="Heading3"/>
        <w:spacing w:before="45"/>
        <w:ind w:left="110"/>
      </w:pPr>
      <w:bookmarkStart w:id="82" w:name="_bookmark46"/>
      <w:bookmarkStart w:id="83" w:name="Figure_13._Age_and_sex_adjusted_risk_rat"/>
      <w:bookmarkStart w:id="84" w:name="_bookmark45"/>
      <w:bookmarkEnd w:id="82"/>
      <w:bookmarkEnd w:id="83"/>
      <w:bookmarkEnd w:id="84"/>
      <w:r>
        <w:rPr>
          <w:color w:val="58595B"/>
        </w:rPr>
        <w:t>Types of Medicines Used</w:t>
      </w:r>
    </w:p>
    <w:p w:rsidR="005330BF" w:rsidRDefault="00136814">
      <w:pPr>
        <w:pStyle w:val="BodyText"/>
        <w:spacing w:before="190" w:line="278" w:lineRule="auto"/>
        <w:ind w:left="110" w:right="1628"/>
      </w:pPr>
      <w:r>
        <w:t>We also examined the different types of medicines used by people in each of the study groups. The NHS reports medicines in Anatomical Therapeutic Chemical (ATC) categories. The ATC categorisation is an international standard approach to classifying medicin</w:t>
      </w:r>
      <w:r>
        <w:t>es.</w:t>
      </w:r>
    </w:p>
    <w:p w:rsidR="005330BF" w:rsidRDefault="00136814">
      <w:pPr>
        <w:pStyle w:val="BodyText"/>
        <w:spacing w:before="148" w:line="276" w:lineRule="auto"/>
        <w:ind w:left="110" w:right="1891"/>
      </w:pPr>
      <w:hyperlink w:anchor="_bookmark46" w:history="1">
        <w:r>
          <w:rPr>
            <w:b/>
            <w:color w:val="25408F"/>
          </w:rPr>
          <w:t xml:space="preserve">Figure 13 </w:t>
        </w:r>
      </w:hyperlink>
      <w:r>
        <w:t>reports the age and sex adjusted relative risk of reporting use of a medicine in each ATC category in DSP recipients compared with wage earners.</w:t>
      </w:r>
    </w:p>
    <w:p w:rsidR="005330BF" w:rsidRDefault="00136814">
      <w:pPr>
        <w:pStyle w:val="BodyText"/>
        <w:spacing w:before="3"/>
        <w:ind w:left="110"/>
      </w:pPr>
      <w:r>
        <w:t>The results demonstrate that:</w:t>
      </w:r>
    </w:p>
    <w:p w:rsidR="005330BF" w:rsidRDefault="00136814">
      <w:pPr>
        <w:pStyle w:val="ListParagraph"/>
        <w:numPr>
          <w:ilvl w:val="0"/>
          <w:numId w:val="2"/>
        </w:numPr>
        <w:tabs>
          <w:tab w:val="left" w:pos="470"/>
          <w:tab w:val="left" w:pos="471"/>
        </w:tabs>
        <w:spacing w:before="191" w:line="278" w:lineRule="auto"/>
        <w:ind w:right="1439"/>
      </w:pPr>
      <w:r>
        <w:t>DSP recipients had a significantly g</w:t>
      </w:r>
      <w:r>
        <w:t>reater risk of having used a medication in the</w:t>
      </w:r>
      <w:r>
        <w:rPr>
          <w:spacing w:val="-39"/>
        </w:rPr>
        <w:t xml:space="preserve"> </w:t>
      </w:r>
      <w:r>
        <w:t xml:space="preserve">previous two weeks for </w:t>
      </w:r>
      <w:r>
        <w:rPr>
          <w:spacing w:val="-9"/>
        </w:rPr>
        <w:t xml:space="preserve">11 </w:t>
      </w:r>
      <w:r>
        <w:t xml:space="preserve">of 12 different </w:t>
      </w:r>
      <w:r>
        <w:rPr>
          <w:spacing w:val="-6"/>
        </w:rPr>
        <w:t xml:space="preserve">ATC </w:t>
      </w:r>
      <w:r>
        <w:t>categories, in comparison to wage</w:t>
      </w:r>
      <w:r>
        <w:rPr>
          <w:spacing w:val="-13"/>
        </w:rPr>
        <w:t xml:space="preserve"> </w:t>
      </w:r>
      <w:r>
        <w:t>earners.</w:t>
      </w:r>
    </w:p>
    <w:p w:rsidR="005330BF" w:rsidRDefault="00136814">
      <w:pPr>
        <w:pStyle w:val="ListParagraph"/>
        <w:numPr>
          <w:ilvl w:val="0"/>
          <w:numId w:val="2"/>
        </w:numPr>
        <w:tabs>
          <w:tab w:val="left" w:pos="470"/>
          <w:tab w:val="left" w:pos="471"/>
        </w:tabs>
        <w:spacing w:line="278" w:lineRule="auto"/>
        <w:ind w:right="1474"/>
      </w:pPr>
      <w:r>
        <w:t>The greatest risk was for dermatological drugs, nervous system drugs, and antineoplastic and immunomodulating agents, al</w:t>
      </w:r>
      <w:r>
        <w:t>l of which had RRs of more than 3 in the DSP group compared with the wage earners</w:t>
      </w:r>
      <w:r>
        <w:rPr>
          <w:spacing w:val="-5"/>
        </w:rPr>
        <w:t xml:space="preserve"> </w:t>
      </w:r>
      <w:r>
        <w:t>group.</w:t>
      </w:r>
    </w:p>
    <w:p w:rsidR="005330BF" w:rsidRDefault="005330BF">
      <w:pPr>
        <w:pStyle w:val="BodyText"/>
        <w:ind w:left="0"/>
        <w:rPr>
          <w:sz w:val="20"/>
        </w:rPr>
      </w:pPr>
    </w:p>
    <w:p w:rsidR="005330BF" w:rsidRDefault="005330BF">
      <w:pPr>
        <w:pStyle w:val="BodyText"/>
        <w:spacing w:before="5"/>
        <w:ind w:left="0"/>
        <w:rPr>
          <w:sz w:val="18"/>
        </w:rPr>
      </w:pPr>
    </w:p>
    <w:p w:rsidR="005330BF" w:rsidRDefault="00136814">
      <w:pPr>
        <w:spacing w:line="268" w:lineRule="auto"/>
        <w:ind w:left="110" w:right="1628"/>
        <w:rPr>
          <w:b/>
          <w:sz w:val="18"/>
        </w:rPr>
      </w:pPr>
      <w:r>
        <w:rPr>
          <w:b/>
          <w:color w:val="25408F"/>
          <w:sz w:val="18"/>
        </w:rPr>
        <w:t>Figure 13. Age and sex adjusted risk ratios for having used a medication from an ATC category at least once in the past 2 weeks for DSP recipients compared to wage e</w:t>
      </w:r>
      <w:r>
        <w:rPr>
          <w:b/>
          <w:color w:val="25408F"/>
          <w:sz w:val="18"/>
        </w:rPr>
        <w:t>arners</w:t>
      </w:r>
    </w:p>
    <w:p w:rsidR="005330BF" w:rsidRDefault="005330BF">
      <w:pPr>
        <w:pStyle w:val="BodyText"/>
        <w:ind w:left="0"/>
        <w:rPr>
          <w:b/>
          <w:sz w:val="20"/>
        </w:rPr>
      </w:pPr>
    </w:p>
    <w:p w:rsidR="005330BF" w:rsidRDefault="00136814">
      <w:pPr>
        <w:pStyle w:val="BodyText"/>
        <w:spacing w:before="9"/>
        <w:ind w:left="0"/>
        <w:rPr>
          <w:b/>
          <w:sz w:val="14"/>
        </w:rPr>
      </w:pPr>
      <w:r>
        <w:rPr>
          <w:noProof/>
        </w:rPr>
        <w:drawing>
          <wp:anchor distT="0" distB="0" distL="0" distR="0" simplePos="0" relativeHeight="251657216" behindDoc="0" locked="0" layoutInCell="1" allowOverlap="1">
            <wp:simplePos x="0" y="0"/>
            <wp:positionH relativeFrom="page">
              <wp:posOffset>615733</wp:posOffset>
            </wp:positionH>
            <wp:positionV relativeFrom="paragraph">
              <wp:posOffset>136844</wp:posOffset>
            </wp:positionV>
            <wp:extent cx="5383383" cy="389867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5383383" cy="3898677"/>
                    </a:xfrm>
                    <a:prstGeom prst="rect">
                      <a:avLst/>
                    </a:prstGeom>
                  </pic:spPr>
                </pic:pic>
              </a:graphicData>
            </a:graphic>
          </wp:anchor>
        </w:drawing>
      </w:r>
    </w:p>
    <w:p w:rsidR="005330BF" w:rsidRDefault="005330BF">
      <w:pPr>
        <w:rPr>
          <w:sz w:val="14"/>
        </w:rPr>
        <w:sectPr w:rsidR="005330BF">
          <w:pgSz w:w="11910" w:h="16840"/>
          <w:pgMar w:top="1160" w:right="540" w:bottom="560" w:left="740" w:header="0" w:footer="290" w:gutter="0"/>
          <w:cols w:space="720"/>
        </w:sectPr>
      </w:pPr>
    </w:p>
    <w:p w:rsidR="005330BF" w:rsidRDefault="00136814">
      <w:pPr>
        <w:pStyle w:val="BodyText"/>
        <w:spacing w:before="47" w:line="276" w:lineRule="auto"/>
        <w:ind w:left="110" w:right="1908"/>
      </w:pPr>
      <w:bookmarkStart w:id="85" w:name="_bookmark48"/>
      <w:bookmarkStart w:id="86" w:name="Figure_14._Age_and_sex_adjusted_risk_rat"/>
      <w:bookmarkStart w:id="87" w:name="_bookmark47"/>
      <w:bookmarkEnd w:id="85"/>
      <w:bookmarkEnd w:id="86"/>
      <w:bookmarkEnd w:id="87"/>
      <w:r>
        <w:t xml:space="preserve">The same analysis was conducted comparing NSA recipients with wage earners and results are presented in </w:t>
      </w:r>
      <w:hyperlink w:anchor="_bookmark48" w:history="1">
        <w:r>
          <w:rPr>
            <w:b/>
            <w:color w:val="25408F"/>
          </w:rPr>
          <w:t>Figure 14</w:t>
        </w:r>
      </w:hyperlink>
      <w:r>
        <w:t>. These findings indicate that:</w:t>
      </w:r>
    </w:p>
    <w:p w:rsidR="005330BF" w:rsidRDefault="00136814">
      <w:pPr>
        <w:pStyle w:val="ListParagraph"/>
        <w:numPr>
          <w:ilvl w:val="0"/>
          <w:numId w:val="2"/>
        </w:numPr>
        <w:tabs>
          <w:tab w:val="left" w:pos="470"/>
          <w:tab w:val="left" w:pos="471"/>
        </w:tabs>
        <w:spacing w:before="151" w:line="278" w:lineRule="auto"/>
        <w:ind w:right="2242"/>
      </w:pPr>
      <w:r>
        <w:t>NSA</w:t>
      </w:r>
      <w:r>
        <w:rPr>
          <w:spacing w:val="-47"/>
        </w:rPr>
        <w:t xml:space="preserve"> </w:t>
      </w:r>
      <w:r>
        <w:t xml:space="preserve">recipients had a greater risk of having used a medication in the previous two weeks for 4 different </w:t>
      </w:r>
      <w:r>
        <w:rPr>
          <w:spacing w:val="-6"/>
        </w:rPr>
        <w:t xml:space="preserve">ATC </w:t>
      </w:r>
      <w:r>
        <w:t xml:space="preserve">categories and a decreases in risk for 1 </w:t>
      </w:r>
      <w:r>
        <w:rPr>
          <w:spacing w:val="-6"/>
        </w:rPr>
        <w:t xml:space="preserve">ATC </w:t>
      </w:r>
      <w:r>
        <w:t>category, in comparison to wage</w:t>
      </w:r>
      <w:r>
        <w:rPr>
          <w:spacing w:val="-3"/>
        </w:rPr>
        <w:t xml:space="preserve"> </w:t>
      </w:r>
      <w:r>
        <w:t>earners.</w:t>
      </w:r>
    </w:p>
    <w:p w:rsidR="005330BF" w:rsidRDefault="00136814">
      <w:pPr>
        <w:pStyle w:val="ListParagraph"/>
        <w:numPr>
          <w:ilvl w:val="0"/>
          <w:numId w:val="2"/>
        </w:numPr>
        <w:tabs>
          <w:tab w:val="left" w:pos="471"/>
        </w:tabs>
        <w:spacing w:line="278" w:lineRule="auto"/>
        <w:ind w:right="1843"/>
        <w:jc w:val="both"/>
      </w:pPr>
      <w:r>
        <w:t>The largest increase in risk was for nervous system, musculoskelet</w:t>
      </w:r>
      <w:r>
        <w:t>al, and alimentary tract and metabolism medications. The decrease in risk was for genito-urinary system and reproductive hormones</w:t>
      </w:r>
      <w:r>
        <w:rPr>
          <w:spacing w:val="-3"/>
        </w:rPr>
        <w:t xml:space="preserve"> </w:t>
      </w:r>
      <w:r>
        <w:t>medications.</w:t>
      </w:r>
    </w:p>
    <w:p w:rsidR="005330BF" w:rsidRDefault="005330BF">
      <w:pPr>
        <w:pStyle w:val="BodyText"/>
        <w:spacing w:before="11"/>
        <w:ind w:left="0"/>
        <w:rPr>
          <w:sz w:val="19"/>
        </w:rPr>
      </w:pPr>
    </w:p>
    <w:p w:rsidR="005330BF" w:rsidRDefault="00136814">
      <w:pPr>
        <w:spacing w:line="268" w:lineRule="auto"/>
        <w:ind w:left="110" w:right="1628"/>
        <w:rPr>
          <w:b/>
          <w:sz w:val="18"/>
        </w:rPr>
      </w:pPr>
      <w:r>
        <w:rPr>
          <w:b/>
          <w:color w:val="25408F"/>
          <w:sz w:val="18"/>
        </w:rPr>
        <w:t>Figure 14. Age and sex adjusted risk ratios for having used a medication from an ATC category at least once in t</w:t>
      </w:r>
      <w:r>
        <w:rPr>
          <w:b/>
          <w:color w:val="25408F"/>
          <w:sz w:val="18"/>
        </w:rPr>
        <w:t>he past 2 weeks for NSA recipients compared to wage earners</w:t>
      </w:r>
    </w:p>
    <w:p w:rsidR="005330BF" w:rsidRDefault="00136814">
      <w:pPr>
        <w:pStyle w:val="BodyText"/>
        <w:spacing w:before="4"/>
        <w:ind w:left="0"/>
        <w:rPr>
          <w:b/>
          <w:sz w:val="27"/>
        </w:rPr>
      </w:pPr>
      <w:r>
        <w:rPr>
          <w:noProof/>
        </w:rPr>
        <w:drawing>
          <wp:anchor distT="0" distB="0" distL="0" distR="0" simplePos="0" relativeHeight="251658240" behindDoc="0" locked="0" layoutInCell="1" allowOverlap="1">
            <wp:simplePos x="0" y="0"/>
            <wp:positionH relativeFrom="page">
              <wp:posOffset>576672</wp:posOffset>
            </wp:positionH>
            <wp:positionV relativeFrom="paragraph">
              <wp:posOffset>231834</wp:posOffset>
            </wp:positionV>
            <wp:extent cx="5654879" cy="4090416"/>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5654879" cy="4090416"/>
                    </a:xfrm>
                    <a:prstGeom prst="rect">
                      <a:avLst/>
                    </a:prstGeom>
                  </pic:spPr>
                </pic:pic>
              </a:graphicData>
            </a:graphic>
          </wp:anchor>
        </w:drawing>
      </w:r>
    </w:p>
    <w:p w:rsidR="005330BF" w:rsidRDefault="005330BF">
      <w:pPr>
        <w:rPr>
          <w:sz w:val="27"/>
        </w:rPr>
        <w:sectPr w:rsidR="005330BF">
          <w:pgSz w:w="11910" w:h="16840"/>
          <w:pgMar w:top="1160" w:right="540" w:bottom="560" w:left="740" w:header="0" w:footer="290" w:gutter="0"/>
          <w:cols w:space="720"/>
        </w:sectPr>
      </w:pPr>
    </w:p>
    <w:p w:rsidR="005330BF" w:rsidRDefault="00136814">
      <w:pPr>
        <w:pStyle w:val="Heading1"/>
      </w:pPr>
      <w:bookmarkStart w:id="88" w:name="Strengths_&amp;_Limitations"/>
      <w:bookmarkStart w:id="89" w:name="_bookmark49"/>
      <w:bookmarkEnd w:id="88"/>
      <w:bookmarkEnd w:id="89"/>
      <w:r>
        <w:rPr>
          <w:color w:val="58595B"/>
        </w:rPr>
        <w:t>Strengths &amp; Limitations</w:t>
      </w:r>
    </w:p>
    <w:p w:rsidR="005330BF" w:rsidRDefault="00136814">
      <w:pPr>
        <w:pStyle w:val="BodyText"/>
        <w:spacing w:before="411" w:line="278" w:lineRule="auto"/>
        <w:ind w:right="1663"/>
      </w:pPr>
      <w:r>
        <w:t xml:space="preserve">This study used self-reported National Health Survey data to examine the health conditions and health service use of people receiving </w:t>
      </w:r>
      <w:r>
        <w:rPr>
          <w:spacing w:val="-8"/>
        </w:rPr>
        <w:t xml:space="preserve">DSP, </w:t>
      </w:r>
      <w:r>
        <w:t>NSA or earnin</w:t>
      </w:r>
      <w:r>
        <w:t>g wages. The study includes a large sample, including over 600 DSP recipients and more than 400 NSA recipients, and a particularly large reference group of wage earners (N=8440). This sample size enabled us to detect significant effects when the difference</w:t>
      </w:r>
      <w:r>
        <w:t>s between groups were relatively small, noting that many of the group differences observed and reported here are</w:t>
      </w:r>
      <w:r>
        <w:rPr>
          <w:spacing w:val="-5"/>
        </w:rPr>
        <w:t xml:space="preserve"> </w:t>
      </w:r>
      <w:r>
        <w:t>large</w:t>
      </w:r>
      <w:r>
        <w:rPr>
          <w:spacing w:val="-4"/>
        </w:rPr>
        <w:t xml:space="preserve"> </w:t>
      </w:r>
      <w:r>
        <w:t>in</w:t>
      </w:r>
      <w:r>
        <w:rPr>
          <w:spacing w:val="-4"/>
        </w:rPr>
        <w:t xml:space="preserve"> </w:t>
      </w:r>
      <w:r>
        <w:t>nature.</w:t>
      </w:r>
      <w:r>
        <w:rPr>
          <w:spacing w:val="-15"/>
        </w:rPr>
        <w:t xml:space="preserve"> </w:t>
      </w:r>
      <w:r>
        <w:t>Availability</w:t>
      </w:r>
      <w:r>
        <w:rPr>
          <w:spacing w:val="-3"/>
        </w:rPr>
        <w:t xml:space="preserve"> </w:t>
      </w:r>
      <w:r>
        <w:t>of</w:t>
      </w:r>
      <w:r>
        <w:rPr>
          <w:spacing w:val="-5"/>
        </w:rPr>
        <w:t xml:space="preserve"> </w:t>
      </w:r>
      <w:r>
        <w:t>age</w:t>
      </w:r>
      <w:r>
        <w:rPr>
          <w:spacing w:val="-4"/>
        </w:rPr>
        <w:t xml:space="preserve"> </w:t>
      </w:r>
      <w:r>
        <w:t>and</w:t>
      </w:r>
      <w:r>
        <w:rPr>
          <w:spacing w:val="-4"/>
        </w:rPr>
        <w:t xml:space="preserve"> </w:t>
      </w:r>
      <w:r>
        <w:t>sex</w:t>
      </w:r>
      <w:r>
        <w:rPr>
          <w:spacing w:val="-3"/>
        </w:rPr>
        <w:t xml:space="preserve"> </w:t>
      </w:r>
      <w:r>
        <w:t>information</w:t>
      </w:r>
      <w:r>
        <w:rPr>
          <w:spacing w:val="-5"/>
        </w:rPr>
        <w:t xml:space="preserve"> </w:t>
      </w:r>
      <w:r>
        <w:t>allowed</w:t>
      </w:r>
      <w:r>
        <w:rPr>
          <w:spacing w:val="-4"/>
        </w:rPr>
        <w:t xml:space="preserve"> </w:t>
      </w:r>
      <w:r>
        <w:t>us</w:t>
      </w:r>
      <w:r>
        <w:rPr>
          <w:spacing w:val="-4"/>
        </w:rPr>
        <w:t xml:space="preserve"> </w:t>
      </w:r>
      <w:r>
        <w:t>to</w:t>
      </w:r>
      <w:r>
        <w:rPr>
          <w:spacing w:val="-4"/>
        </w:rPr>
        <w:t xml:space="preserve"> </w:t>
      </w:r>
      <w:r>
        <w:t>adjust estimates of risk and rate ratios to provide more accurate estimates of differences between groups, taking these important demographic features into</w:t>
      </w:r>
      <w:r>
        <w:rPr>
          <w:spacing w:val="-2"/>
        </w:rPr>
        <w:t xml:space="preserve"> </w:t>
      </w:r>
      <w:r>
        <w:t>account.</w:t>
      </w:r>
    </w:p>
    <w:p w:rsidR="005330BF" w:rsidRDefault="00136814">
      <w:pPr>
        <w:pStyle w:val="BodyText"/>
        <w:spacing w:before="151" w:line="278" w:lineRule="auto"/>
        <w:ind w:right="1628"/>
      </w:pPr>
      <w:r>
        <w:t>The NHS uses standardised international coding schema for health conditions (ICD-10) and fo</w:t>
      </w:r>
      <w:r>
        <w:t>r medicines (ATC) which enables comparison of observed results with other populations within Australia and internationally. Similarly the NHS collects detailed information on health conditions, health services and medicine use, which enabled us to drill do</w:t>
      </w:r>
      <w:r>
        <w:t>wn within broad categories and identify underlying features of conditions, service and medicine use. Finally, the NHS uses a standardised and well described approach to data collection, which has been used by the ABS over repeated iterations of the survey.</w:t>
      </w:r>
    </w:p>
    <w:p w:rsidR="005330BF" w:rsidRDefault="00136814">
      <w:pPr>
        <w:pStyle w:val="BodyText"/>
        <w:spacing w:before="150" w:line="278" w:lineRule="auto"/>
        <w:ind w:right="1676"/>
      </w:pPr>
      <w:r>
        <w:t>One limitation of the self-report methodology is that it requires respondents to recall use of services and to accurately report their health conditions. In the NHS, health service use data requires recall over the previous 12 months.</w:t>
      </w:r>
    </w:p>
    <w:p w:rsidR="005330BF" w:rsidRDefault="00136814">
      <w:pPr>
        <w:pStyle w:val="BodyText"/>
        <w:spacing w:before="1" w:line="278" w:lineRule="auto"/>
        <w:ind w:right="1570"/>
      </w:pPr>
      <w:r>
        <w:t>Individuals with a l</w:t>
      </w:r>
      <w:r>
        <w:t>arge number of conditions, medications and health service use may not be able to recall every health-related activity. Another limitation of self-reported data is that a reported condition may not have been diagnosed, and the NHS does not differentiate bet</w:t>
      </w:r>
      <w:r>
        <w:t>ween diagnosed conditions and other conditions which the respondent may self-report.</w:t>
      </w:r>
    </w:p>
    <w:p w:rsidR="005330BF" w:rsidRDefault="00136814">
      <w:pPr>
        <w:pStyle w:val="BodyText"/>
        <w:spacing w:before="150" w:line="278" w:lineRule="auto"/>
        <w:ind w:right="1614"/>
      </w:pPr>
      <w:r>
        <w:t xml:space="preserve">There may also be a response bias in the sample of DSP and NSA recipients who participate in the NHS. People who are ill and disabled, or who do not have secure access to </w:t>
      </w:r>
      <w:r>
        <w:t xml:space="preserve">housing and communication technologies, may be less likely to participate in surveys. In addition, some groups of DSP and NSA recipients may be less able to participate due to restrictions in cognitive and intellectual function. This means that the sample </w:t>
      </w:r>
      <w:r>
        <w:t>of DSP and NSA recipients included in the NHS may not represent the entire population of DSP and</w:t>
      </w:r>
    </w:p>
    <w:p w:rsidR="005330BF" w:rsidRDefault="00136814">
      <w:pPr>
        <w:pStyle w:val="BodyText"/>
      </w:pPr>
      <w:r>
        <w:t>NSA recipients.</w:t>
      </w:r>
    </w:p>
    <w:p w:rsidR="005330BF" w:rsidRDefault="00136814">
      <w:pPr>
        <w:pStyle w:val="BodyText"/>
        <w:spacing w:before="192" w:line="278" w:lineRule="auto"/>
        <w:ind w:right="1602"/>
      </w:pPr>
      <w:r>
        <w:t xml:space="preserve">Our study focused on the 2014/15 iteration of the NHS and the data collected is cross-sectional. This means that all of the effects observed must be considered to be associations, and we cannot examine causal relationships or the temporal order of events, </w:t>
      </w:r>
      <w:r>
        <w:t>such as use of health services relative to the beginning of DSP benefit receipt or application. There have also been policy changes to the Australian benefit systems since 2014/15 that may have affected the health of DSP and NSA recipient and will not be c</w:t>
      </w:r>
      <w:r>
        <w:t>aptured by</w:t>
      </w:r>
    </w:p>
    <w:p w:rsidR="005330BF" w:rsidRDefault="00136814">
      <w:pPr>
        <w:pStyle w:val="BodyText"/>
      </w:pPr>
      <w:r>
        <w:t>this dataset.</w:t>
      </w:r>
    </w:p>
    <w:p w:rsidR="005330BF" w:rsidRDefault="005330BF">
      <w:pPr>
        <w:sectPr w:rsidR="005330BF">
          <w:pgSz w:w="11910" w:h="16840"/>
          <w:pgMar w:top="1060" w:right="540" w:bottom="560" w:left="740" w:header="0" w:footer="290" w:gutter="0"/>
          <w:cols w:space="720"/>
        </w:sectPr>
      </w:pPr>
    </w:p>
    <w:p w:rsidR="005330BF" w:rsidRDefault="00136814">
      <w:pPr>
        <w:pStyle w:val="Heading1"/>
      </w:pPr>
      <w:bookmarkStart w:id="90" w:name="Summary_&amp;_Conclusions"/>
      <w:bookmarkStart w:id="91" w:name="_bookmark50"/>
      <w:bookmarkEnd w:id="90"/>
      <w:bookmarkEnd w:id="91"/>
      <w:r>
        <w:rPr>
          <w:color w:val="58595B"/>
        </w:rPr>
        <w:t>Summary &amp; Conclusions</w:t>
      </w:r>
    </w:p>
    <w:p w:rsidR="005330BF" w:rsidRDefault="00136814">
      <w:pPr>
        <w:pStyle w:val="BodyText"/>
        <w:spacing w:before="411" w:line="278" w:lineRule="auto"/>
        <w:ind w:right="1642"/>
      </w:pPr>
      <w:r>
        <w:t>This study found that people receiving Commonwealth government DSP benefits are at much greater risk of ill health than wage earners across a range of disease categories. This study demonstra</w:t>
      </w:r>
      <w:r>
        <w:t xml:space="preserve">tes that DSP recipients are also more likely to assess their own health as being </w:t>
      </w:r>
      <w:r>
        <w:rPr>
          <w:spacing w:val="-3"/>
        </w:rPr>
        <w:t xml:space="preserve">poor, </w:t>
      </w:r>
      <w:r>
        <w:t>report having multiple health conditions, and that the largest differences from people earning wages or business income are in the areas of mental and behavioural health</w:t>
      </w:r>
      <w:r>
        <w:t xml:space="preserve">. There are also many other conditions and diseases in which DSP recipients are at greater risk. Consistent with this increased health burden, DSP recipients are also heavy users of most healthcare services including primary care, allied health, community </w:t>
      </w:r>
      <w:r>
        <w:t>health, specialist medical and hospital services. In addition, DSP recipients are also much more likely to have multiple episodes of health service use than wage earners. Finally, this study demonstrates that the rate of medicine use and polypharmacy in DS</w:t>
      </w:r>
      <w:r>
        <w:t>P recipients is much higher than that in wage</w:t>
      </w:r>
      <w:r>
        <w:rPr>
          <w:spacing w:val="-7"/>
        </w:rPr>
        <w:t xml:space="preserve"> </w:t>
      </w:r>
      <w:r>
        <w:t>earners.</w:t>
      </w:r>
    </w:p>
    <w:p w:rsidR="005330BF" w:rsidRDefault="00136814">
      <w:pPr>
        <w:pStyle w:val="BodyText"/>
        <w:spacing w:before="151" w:line="278" w:lineRule="auto"/>
        <w:ind w:right="1749"/>
      </w:pPr>
      <w:r>
        <w:t>Similar to the DSP group, Australians receiving NSA benefits report an increased prevalence of disease in multiple categories, report poorer health, have a higher rate of multi-morbidity, are more like</w:t>
      </w:r>
      <w:r>
        <w:t>ly to use some health services and be hospitalised, and have a higher rate of multiple episodes of health service use than wage earners. While the magnitude of these effects are not as large as those observed for DSP recipients, our findings confirm a sign</w:t>
      </w:r>
      <w:r>
        <w:t>ificantly increased burden of ill health in Australian NSA recipients.</w:t>
      </w:r>
    </w:p>
    <w:p w:rsidR="005330BF" w:rsidRDefault="00136814">
      <w:pPr>
        <w:pStyle w:val="BodyText"/>
        <w:spacing w:line="278" w:lineRule="auto"/>
        <w:ind w:right="1225"/>
      </w:pPr>
      <w:r>
        <w:t>As with the DSP, the largest differences are in the domain of mental and behavioural health.</w:t>
      </w:r>
    </w:p>
    <w:p w:rsidR="005330BF" w:rsidRDefault="00136814">
      <w:pPr>
        <w:pStyle w:val="BodyText"/>
        <w:spacing w:before="151"/>
      </w:pPr>
      <w:r>
        <w:t>IMPLICATIONS</w:t>
      </w:r>
    </w:p>
    <w:p w:rsidR="005330BF" w:rsidRDefault="00136814">
      <w:pPr>
        <w:pStyle w:val="BodyText"/>
        <w:spacing w:before="191" w:line="278" w:lineRule="auto"/>
        <w:ind w:right="1590"/>
      </w:pPr>
      <w:r>
        <w:t>The differences in health status between Commonwealth benefit recipients and wa</w:t>
      </w:r>
      <w:r>
        <w:t>ge earners are stark, and demonstrate the substantial burden of disease and disability in both the DSP and NSA groups. Combined, more than</w:t>
      </w:r>
    </w:p>
    <w:p w:rsidR="005330BF" w:rsidRDefault="00136814">
      <w:pPr>
        <w:pStyle w:val="BodyText"/>
        <w:spacing w:line="278" w:lineRule="auto"/>
        <w:ind w:right="1764"/>
      </w:pPr>
      <w:r>
        <w:t>1.45 million Australians receive either the DSP or the NSA. Successive governments have introduced reforms to these w</w:t>
      </w:r>
      <w:r>
        <w:t>orking age benefits with the objective of restricting growth in expenditure and encouraging people off welfare benefits and into paid employment. These reforms have included, for instance, requiring most DSP applicants to demonstrate that they</w:t>
      </w:r>
      <w:r>
        <w:rPr>
          <w:spacing w:val="-29"/>
        </w:rPr>
        <w:t xml:space="preserve"> </w:t>
      </w:r>
      <w:r>
        <w:t>have</w:t>
      </w:r>
    </w:p>
    <w:p w:rsidR="005330BF" w:rsidRDefault="00136814">
      <w:pPr>
        <w:pStyle w:val="BodyText"/>
        <w:spacing w:before="1" w:line="278" w:lineRule="auto"/>
        <w:ind w:right="1641"/>
        <w:jc w:val="both"/>
      </w:pPr>
      <w:r>
        <w:t>activel</w:t>
      </w:r>
      <w:r>
        <w:t xml:space="preserve">y participated in job seeking or training for a period of 18 months before applying for the </w:t>
      </w:r>
      <w:r>
        <w:rPr>
          <w:spacing w:val="-8"/>
        </w:rPr>
        <w:t xml:space="preserve">DSP, </w:t>
      </w:r>
      <w:r>
        <w:t>and changes to the provision of job finding and disability employment services.</w:t>
      </w:r>
    </w:p>
    <w:p w:rsidR="005330BF" w:rsidRDefault="00136814">
      <w:pPr>
        <w:pStyle w:val="BodyText"/>
        <w:spacing w:before="150" w:line="278" w:lineRule="auto"/>
        <w:ind w:right="1973"/>
      </w:pPr>
      <w:r>
        <w:t>Absent from these reforms has been consideration of the health of benefit recip</w:t>
      </w:r>
      <w:r>
        <w:t>ients. Poor health is a barrier to work. There is substantial global evidence of the link between health and the ability to find and maintain work.</w:t>
      </w:r>
      <w:hyperlink w:anchor="_bookmark55" w:history="1">
        <w:r>
          <w:rPr>
            <w:color w:val="25408F"/>
            <w:position w:val="7"/>
            <w:sz w:val="13"/>
          </w:rPr>
          <w:t>[18]</w:t>
        </w:r>
      </w:hyperlink>
      <w:r>
        <w:rPr>
          <w:color w:val="25408F"/>
          <w:position w:val="7"/>
          <w:sz w:val="13"/>
        </w:rPr>
        <w:t xml:space="preserve"> </w:t>
      </w:r>
      <w:r>
        <w:t>Peak Australian health practitioner bodies such as the Royal Australasian</w:t>
      </w:r>
      <w:r>
        <w:t xml:space="preserve"> College of Physicians have released position statements summarizing this evidence and emphasising the health benefits of work.</w:t>
      </w:r>
      <w:hyperlink w:anchor="_bookmark55" w:history="1">
        <w:r>
          <w:rPr>
            <w:color w:val="25408F"/>
            <w:position w:val="7"/>
            <w:sz w:val="13"/>
          </w:rPr>
          <w:t>[19]</w:t>
        </w:r>
      </w:hyperlink>
      <w:r>
        <w:rPr>
          <w:color w:val="25408F"/>
          <w:position w:val="7"/>
          <w:sz w:val="13"/>
        </w:rPr>
        <w:t xml:space="preserve"> </w:t>
      </w:r>
      <w:r>
        <w:t>It follows that actions to promote health in DSP and NSA recipients will support improvements</w:t>
      </w:r>
      <w:r>
        <w:t xml:space="preserve"> in the ability of people receiving these benefits to participate in job finding and employment.</w:t>
      </w:r>
    </w:p>
    <w:p w:rsidR="005330BF" w:rsidRDefault="005330BF">
      <w:pPr>
        <w:spacing w:line="278" w:lineRule="auto"/>
        <w:sectPr w:rsidR="005330BF">
          <w:pgSz w:w="11910" w:h="16840"/>
          <w:pgMar w:top="1060" w:right="540" w:bottom="560" w:left="740" w:header="0" w:footer="290" w:gutter="0"/>
          <w:cols w:space="720"/>
        </w:sectPr>
      </w:pPr>
    </w:p>
    <w:p w:rsidR="005330BF" w:rsidRDefault="00136814">
      <w:pPr>
        <w:pStyle w:val="BodyText"/>
        <w:spacing w:before="47" w:line="278" w:lineRule="auto"/>
        <w:ind w:right="1597"/>
      </w:pPr>
      <w:bookmarkStart w:id="92" w:name="_bookmark51"/>
      <w:bookmarkEnd w:id="92"/>
      <w:r>
        <w:t>Our findings suggest there is substantial potential for improvement in health status of some people receiving DSP and NSA benefits. While man</w:t>
      </w:r>
      <w:r>
        <w:t>y people receiving these benefits will be receiving appropriate treatment for their conditions and may have stable health, there is also evidence suggesting room for improvement. For example, while 69% of DSP recipients in this study reported a mental or b</w:t>
      </w:r>
      <w:r>
        <w:t>ehavioural problem, only 19% reported having seen a psychologist in the preceding 12-month period, 8% reported seeing a social worker and 7% a counsellor. This is suggestive of a large gap between health need and health service delivery, at least in the ar</w:t>
      </w:r>
      <w:r>
        <w:t>ea of mental health.</w:t>
      </w:r>
    </w:p>
    <w:p w:rsidR="005330BF" w:rsidRDefault="00136814">
      <w:pPr>
        <w:pStyle w:val="BodyText"/>
        <w:spacing w:before="150" w:line="278" w:lineRule="auto"/>
        <w:ind w:right="2104"/>
      </w:pPr>
      <w:r>
        <w:t>There are multiple ways in which health can be improved. Health can be improved by delivering more targeted and more effective health services.</w:t>
      </w:r>
    </w:p>
    <w:p w:rsidR="005330BF" w:rsidRDefault="00136814">
      <w:pPr>
        <w:pStyle w:val="BodyText"/>
        <w:spacing w:line="278" w:lineRule="auto"/>
        <w:ind w:right="1712"/>
      </w:pPr>
      <w:r>
        <w:t>For example, it may be feasible to identify the individual health needs of DSP and NSA recipients at the point of entry to the welfare system, and then deliver targeted health services that address those needs. Such approaches are being trialed in other Au</w:t>
      </w:r>
      <w:r>
        <w:t>stralian benefit systems such as workers’ compensation.</w:t>
      </w:r>
      <w:hyperlink w:anchor="_bookmark55" w:history="1">
        <w:r>
          <w:rPr>
            <w:color w:val="25408F"/>
            <w:position w:val="7"/>
            <w:sz w:val="13"/>
          </w:rPr>
          <w:t>[20]</w:t>
        </w:r>
      </w:hyperlink>
      <w:r>
        <w:rPr>
          <w:color w:val="25408F"/>
          <w:position w:val="7"/>
          <w:sz w:val="13"/>
        </w:rPr>
        <w:t xml:space="preserve"> </w:t>
      </w:r>
      <w:r>
        <w:t>We found that some health services that typically incur significant ‘out of pocket’ costs were less commonly used by DSP and NSA recipients than wage earners, includ</w:t>
      </w:r>
      <w:r>
        <w:t>ing physical therapy and dentistry.</w:t>
      </w:r>
    </w:p>
    <w:p w:rsidR="005330BF" w:rsidRDefault="00136814">
      <w:pPr>
        <w:pStyle w:val="BodyText"/>
        <w:spacing w:before="1" w:line="278" w:lineRule="auto"/>
        <w:ind w:right="1737"/>
      </w:pPr>
      <w:r>
        <w:t>Improving access to these services may support improvements in health and reductions in disability.</w:t>
      </w:r>
    </w:p>
    <w:p w:rsidR="005330BF" w:rsidRDefault="00136814">
      <w:pPr>
        <w:pStyle w:val="BodyText"/>
        <w:spacing w:before="150" w:line="278" w:lineRule="auto"/>
        <w:ind w:right="2311"/>
      </w:pPr>
      <w:r>
        <w:t>Another opportunity for improved service delivery may be in the early identification of people with particularly complex</w:t>
      </w:r>
      <w:r>
        <w:t xml:space="preserve"> or acute health needs,</w:t>
      </w:r>
    </w:p>
    <w:p w:rsidR="005330BF" w:rsidRDefault="00136814">
      <w:pPr>
        <w:pStyle w:val="BodyText"/>
        <w:spacing w:line="278" w:lineRule="auto"/>
        <w:ind w:right="1657"/>
      </w:pPr>
      <w:r>
        <w:t>or those at greater risk of hospitalization, which can then enable intervention to prevent health shocks. A simple extrapolation of the data from this study to a population level suggests that DSP recipients account for approximatel</w:t>
      </w:r>
      <w:r>
        <w:t>y 14% of all public hospital admissions among working age Australians</w:t>
      </w:r>
    </w:p>
    <w:p w:rsidR="005330BF" w:rsidRDefault="00136814">
      <w:pPr>
        <w:pStyle w:val="BodyText"/>
        <w:spacing w:line="278" w:lineRule="auto"/>
        <w:ind w:right="1628"/>
      </w:pPr>
      <w:r>
        <w:t xml:space="preserve">(15 to 65 years) </w:t>
      </w:r>
      <w:hyperlink w:anchor="_bookmark55" w:history="1">
        <w:r>
          <w:rPr>
            <w:color w:val="25408F"/>
            <w:position w:val="7"/>
            <w:sz w:val="13"/>
          </w:rPr>
          <w:t>[21]</w:t>
        </w:r>
      </w:hyperlink>
      <w:r>
        <w:t>, despite accounting for less than 5% of Australians in this age group. DSP recipients should be considered a group at high-risk of hospitalisation, warranting further attention and preventive action.</w:t>
      </w:r>
    </w:p>
    <w:p w:rsidR="005330BF" w:rsidRDefault="00136814">
      <w:pPr>
        <w:pStyle w:val="BodyText"/>
        <w:spacing w:before="151" w:line="278" w:lineRule="auto"/>
        <w:ind w:right="1611"/>
      </w:pPr>
      <w:r>
        <w:t>Health can be improved by addressing the social determi</w:t>
      </w:r>
      <w:r>
        <w:t xml:space="preserve">nants of health. These are characterized by the World Health Organisation as the conditions in which we are born, </w:t>
      </w:r>
      <w:r>
        <w:rPr>
          <w:spacing w:val="-3"/>
        </w:rPr>
        <w:t xml:space="preserve">grow, </w:t>
      </w:r>
      <w:r>
        <w:t>work, live and age.</w:t>
      </w:r>
      <w:hyperlink w:anchor="_bookmark55" w:history="1">
        <w:r>
          <w:rPr>
            <w:color w:val="25408F"/>
            <w:position w:val="7"/>
            <w:sz w:val="13"/>
          </w:rPr>
          <w:t>[22]</w:t>
        </w:r>
      </w:hyperlink>
      <w:r>
        <w:rPr>
          <w:color w:val="25408F"/>
          <w:position w:val="7"/>
          <w:sz w:val="13"/>
        </w:rPr>
        <w:t xml:space="preserve"> </w:t>
      </w:r>
      <w:r>
        <w:t>They include things such as access to housing and nutrition, support services, so</w:t>
      </w:r>
      <w:r>
        <w:t xml:space="preserve">cial inclusion, education and training. Income poverty and financial stress are major barriers to achieving many of these things. There is evidence that life expectancy is inversely related to the generosity of welfare regimes </w:t>
      </w:r>
      <w:hyperlink w:anchor="_bookmark55" w:history="1">
        <w:r>
          <w:rPr>
            <w:color w:val="25408F"/>
            <w:position w:val="7"/>
            <w:sz w:val="13"/>
          </w:rPr>
          <w:t>[23]</w:t>
        </w:r>
      </w:hyperlink>
      <w:r>
        <w:t xml:space="preserve">, that poverty is a barrier to recovery from illness including mental illness </w:t>
      </w:r>
      <w:hyperlink w:anchor="_bookmark55" w:history="1">
        <w:r>
          <w:rPr>
            <w:color w:val="25408F"/>
            <w:position w:val="7"/>
            <w:sz w:val="13"/>
          </w:rPr>
          <w:t>[24]</w:t>
        </w:r>
      </w:hyperlink>
      <w:r>
        <w:rPr>
          <w:color w:val="25408F"/>
          <w:position w:val="7"/>
          <w:sz w:val="13"/>
        </w:rPr>
        <w:t xml:space="preserve"> </w:t>
      </w:r>
      <w:r>
        <w:t>and that financial distress is associated with lower likelihood of returning to employment in people with significant health conditions.</w:t>
      </w:r>
      <w:hyperlink w:anchor="_bookmark55" w:history="1">
        <w:r>
          <w:rPr>
            <w:color w:val="25408F"/>
            <w:position w:val="7"/>
            <w:sz w:val="13"/>
          </w:rPr>
          <w:t>[25]</w:t>
        </w:r>
      </w:hyperlink>
      <w:r>
        <w:rPr>
          <w:color w:val="25408F"/>
          <w:position w:val="7"/>
          <w:sz w:val="13"/>
        </w:rPr>
        <w:t xml:space="preserve"> </w:t>
      </w:r>
      <w:r>
        <w:t xml:space="preserve">Unemployed Australians and those not in the labour force (such as DSP recipients) are much more likely to be living in poverty than people employed full or part-time, with as many as 40% of working age people not in the </w:t>
      </w:r>
      <w:r>
        <w:t>labour force in poverty.</w:t>
      </w:r>
      <w:hyperlink w:anchor="_bookmark55" w:history="1">
        <w:r>
          <w:rPr>
            <w:color w:val="25408F"/>
            <w:position w:val="7"/>
            <w:sz w:val="13"/>
          </w:rPr>
          <w:t xml:space="preserve">[26] </w:t>
        </w:r>
      </w:hyperlink>
      <w:r>
        <w:t>Actions that reduce the rate of poverty and financial stress amongst DSP and NSA recipients are thus likely to have a net positive impact on</w:t>
      </w:r>
      <w:r>
        <w:rPr>
          <w:spacing w:val="-12"/>
        </w:rPr>
        <w:t xml:space="preserve"> </w:t>
      </w:r>
      <w:r>
        <w:t>health.</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BodyText"/>
        <w:spacing w:before="47" w:line="278" w:lineRule="auto"/>
        <w:ind w:left="1412" w:right="1652"/>
      </w:pPr>
      <w:bookmarkStart w:id="93" w:name="_bookmark52"/>
      <w:bookmarkEnd w:id="93"/>
      <w:r>
        <w:t>Health, and particularly ment</w:t>
      </w:r>
      <w:r>
        <w:t xml:space="preserve">al health, can also be improved by reducing the burden of engaging with government. The process of applying for welfare benefits and complying with obligations often required by benefit regimes can be stressful </w:t>
      </w:r>
      <w:hyperlink w:anchor="_bookmark55" w:history="1">
        <w:r>
          <w:rPr>
            <w:color w:val="25408F"/>
            <w:position w:val="7"/>
            <w:sz w:val="13"/>
          </w:rPr>
          <w:t>[27]</w:t>
        </w:r>
      </w:hyperlink>
      <w:r>
        <w:t>, has been</w:t>
      </w:r>
      <w:r>
        <w:t xml:space="preserve"> linked with adverse impacts on the health of benefit recipients with illness and injury </w:t>
      </w:r>
      <w:hyperlink w:anchor="_bookmark55" w:history="1">
        <w:r>
          <w:rPr>
            <w:color w:val="25408F"/>
            <w:position w:val="7"/>
            <w:sz w:val="13"/>
          </w:rPr>
          <w:t>[</w:t>
        </w:r>
      </w:hyperlink>
      <w:hyperlink w:anchor="_bookmark55" w:history="1">
        <w:r>
          <w:rPr>
            <w:color w:val="25408F"/>
            <w:position w:val="7"/>
            <w:sz w:val="13"/>
          </w:rPr>
          <w:t>28, 29]</w:t>
        </w:r>
      </w:hyperlink>
      <w:r>
        <w:rPr>
          <w:color w:val="25408F"/>
          <w:position w:val="7"/>
          <w:sz w:val="13"/>
        </w:rPr>
        <w:t xml:space="preserve"> </w:t>
      </w:r>
      <w:r>
        <w:t>and a reduction in the ability to participate in employment.</w:t>
      </w:r>
      <w:hyperlink w:anchor="_bookmark55" w:history="1">
        <w:r>
          <w:rPr>
            <w:color w:val="25408F"/>
            <w:position w:val="7"/>
            <w:sz w:val="13"/>
          </w:rPr>
          <w:t>[30]</w:t>
        </w:r>
      </w:hyperlink>
      <w:r>
        <w:rPr>
          <w:color w:val="25408F"/>
          <w:position w:val="7"/>
          <w:sz w:val="13"/>
        </w:rPr>
        <w:t xml:space="preserve"> </w:t>
      </w:r>
      <w:r>
        <w:t>People with cognitive, intellectual or psychological conditions and those with less education, smaller support networks or other vulnerabilities are more likely to be adversely affected.</w:t>
      </w:r>
      <w:hyperlink w:anchor="_bookmark56" w:history="1">
        <w:r>
          <w:rPr>
            <w:color w:val="25408F"/>
            <w:position w:val="7"/>
            <w:sz w:val="13"/>
          </w:rPr>
          <w:t>[27]</w:t>
        </w:r>
      </w:hyperlink>
      <w:r>
        <w:rPr>
          <w:color w:val="25408F"/>
          <w:position w:val="7"/>
          <w:sz w:val="13"/>
        </w:rPr>
        <w:t xml:space="preserve"> </w:t>
      </w:r>
      <w:r>
        <w:t>Actions such as simplifying benefi</w:t>
      </w:r>
      <w:r>
        <w:t>t application processes or funding services that can support people with disabilities to engage with Centrelink are likely to reduce these potentially adverse psychological impacts.</w:t>
      </w:r>
    </w:p>
    <w:p w:rsidR="005330BF" w:rsidRDefault="00136814">
      <w:pPr>
        <w:pStyle w:val="BodyText"/>
        <w:spacing w:before="150" w:line="278" w:lineRule="auto"/>
        <w:ind w:left="1412" w:right="1714"/>
      </w:pPr>
      <w:r>
        <w:t>Future studies should examine the effectiveness of health service delivery</w:t>
      </w:r>
      <w:r>
        <w:t xml:space="preserve"> to working age benefit recipients and the impact on health status and ability to engage in employment. There is a clear need for further research in this area to support policy development and service delivery. Longitudinal studies would provide particula</w:t>
      </w:r>
      <w:r>
        <w:t>rly valuable information, and such studies may be feasible using administrative data (such as linked social security and MBS data) or a prospective cohort design. It will also be valuable to examine</w:t>
      </w:r>
    </w:p>
    <w:p w:rsidR="005330BF" w:rsidRDefault="00136814">
      <w:pPr>
        <w:pStyle w:val="BodyText"/>
        <w:spacing w:before="1" w:line="278" w:lineRule="auto"/>
        <w:ind w:left="1412" w:right="1787"/>
      </w:pPr>
      <w:r>
        <w:t>sub-groups of DSP and NSA recipients to characterise grou</w:t>
      </w:r>
      <w:r>
        <w:t>ps with the greatest potential for improvement in health status. Such analyses may provide information to support the targeted delivery of services and supports to discrete groups, based on demographic, health or other characteristics.</w:t>
      </w:r>
    </w:p>
    <w:p w:rsidR="005330BF" w:rsidRDefault="00136814">
      <w:pPr>
        <w:pStyle w:val="BodyText"/>
        <w:spacing w:before="150" w:line="278" w:lineRule="auto"/>
        <w:ind w:left="1412" w:right="1762"/>
      </w:pPr>
      <w:r>
        <w:t>In summary, the find</w:t>
      </w:r>
      <w:r>
        <w:t>ings of this study when combined with prior evidence, suggest that an opportunity to improve the employment outcomes of people receiving the DSP and NSA is to focus on health improvement and disability reduction. Three avenues through which this may be ach</w:t>
      </w:r>
      <w:r>
        <w:t>ieved include better health service delivery, action on the social determinants of health,</w:t>
      </w:r>
    </w:p>
    <w:p w:rsidR="005330BF" w:rsidRDefault="00136814">
      <w:pPr>
        <w:pStyle w:val="BodyText"/>
        <w:spacing w:line="278" w:lineRule="auto"/>
        <w:ind w:left="1412" w:right="1726"/>
      </w:pPr>
      <w:r>
        <w:t>and simplification of welfare processes. Such initiatives may be supported by coordinated action across government departments. There are examples of international policy initiatives in this field. For example, the UK government has created a cross-governm</w:t>
      </w:r>
      <w:r>
        <w:t>ent Work and Health Unit that is jointly sponsored by the UK Department of Health and Department of Work and Pensions. The aim of the unit is to “improve the health and employment outcomes for disabled people and those with health conditions” including thr</w:t>
      </w:r>
      <w:r>
        <w:t>ough the provision of healthcare to people with disability and work limitations. Similarly, Norway has a cross-government Directorate of Health and Social Affairs that operates under the joint auspices of the Ministry of Health and Care Services and the Mi</w:t>
      </w:r>
      <w:r>
        <w:t>nistry of Labour and Social Affairs.</w:t>
      </w:r>
    </w:p>
    <w:p w:rsidR="005330BF" w:rsidRDefault="00136814">
      <w:pPr>
        <w:pStyle w:val="BodyText"/>
        <w:spacing w:before="1" w:line="278" w:lineRule="auto"/>
        <w:ind w:left="1412" w:right="1787"/>
      </w:pPr>
      <w:r>
        <w:t>In contrast, there appears to be little coordination between Australian social security and healthcare systems. Improving the coordination between health and welfare departments could reduce the burden to government whi</w:t>
      </w:r>
      <w:r>
        <w:t>le also improving the lives of Australians receiving disability support and unemployment benefits.</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Heading1"/>
      </w:pPr>
      <w:bookmarkStart w:id="94" w:name="_bookmark54"/>
      <w:bookmarkStart w:id="95" w:name="References"/>
      <w:bookmarkStart w:id="96" w:name="_bookmark53"/>
      <w:bookmarkEnd w:id="94"/>
      <w:bookmarkEnd w:id="95"/>
      <w:bookmarkEnd w:id="96"/>
      <w:r>
        <w:rPr>
          <w:color w:val="58595B"/>
        </w:rPr>
        <w:t>References</w:t>
      </w:r>
    </w:p>
    <w:p w:rsidR="005330BF" w:rsidRDefault="00136814">
      <w:pPr>
        <w:pStyle w:val="ListParagraph"/>
        <w:numPr>
          <w:ilvl w:val="0"/>
          <w:numId w:val="1"/>
        </w:numPr>
        <w:tabs>
          <w:tab w:val="left" w:pos="563"/>
          <w:tab w:val="left" w:pos="564"/>
        </w:tabs>
        <w:spacing w:before="559" w:line="276" w:lineRule="auto"/>
        <w:ind w:right="1462" w:hanging="453"/>
      </w:pPr>
      <w:r>
        <w:t xml:space="preserve">Australian Government. Social Security Guide: 3.2.8.10 Mutual Obligation Requirements for </w:t>
      </w:r>
      <w:r>
        <w:rPr>
          <w:spacing w:val="-4"/>
        </w:rPr>
        <w:t xml:space="preserve">NSA/YA </w:t>
      </w:r>
      <w:r>
        <w:t>Job Seekers Overview. Canberra,</w:t>
      </w:r>
      <w:r>
        <w:t xml:space="preserve"> Australia</w:t>
      </w:r>
      <w:r>
        <w:rPr>
          <w:spacing w:val="-23"/>
        </w:rPr>
        <w:t xml:space="preserve"> </w:t>
      </w:r>
      <w:r>
        <w:t>2019.</w:t>
      </w:r>
    </w:p>
    <w:p w:rsidR="005330BF" w:rsidRDefault="00136814">
      <w:pPr>
        <w:pStyle w:val="ListParagraph"/>
        <w:numPr>
          <w:ilvl w:val="0"/>
          <w:numId w:val="1"/>
        </w:numPr>
        <w:tabs>
          <w:tab w:val="left" w:pos="563"/>
          <w:tab w:val="left" w:pos="564"/>
        </w:tabs>
        <w:spacing w:before="151" w:line="276" w:lineRule="auto"/>
        <w:ind w:right="1589" w:hanging="453"/>
      </w:pPr>
      <w:r>
        <w:t>DSS</w:t>
      </w:r>
      <w:r>
        <w:rPr>
          <w:spacing w:val="-6"/>
        </w:rPr>
        <w:t xml:space="preserve"> </w:t>
      </w:r>
      <w:r>
        <w:t>Demographics</w:t>
      </w:r>
      <w:r>
        <w:rPr>
          <w:spacing w:val="-5"/>
        </w:rPr>
        <w:t xml:space="preserve"> </w:t>
      </w:r>
      <w:r>
        <w:t>December</w:t>
      </w:r>
      <w:r>
        <w:rPr>
          <w:spacing w:val="-5"/>
        </w:rPr>
        <w:t xml:space="preserve"> </w:t>
      </w:r>
      <w:r>
        <w:t>2018</w:t>
      </w:r>
      <w:r>
        <w:rPr>
          <w:spacing w:val="-5"/>
        </w:rPr>
        <w:t xml:space="preserve"> </w:t>
      </w:r>
      <w:r>
        <w:t>[Internet].</w:t>
      </w:r>
      <w:r>
        <w:rPr>
          <w:spacing w:val="-4"/>
        </w:rPr>
        <w:t xml:space="preserve"> </w:t>
      </w:r>
      <w:r>
        <w:t>2018</w:t>
      </w:r>
      <w:r>
        <w:rPr>
          <w:spacing w:val="-5"/>
        </w:rPr>
        <w:t xml:space="preserve"> </w:t>
      </w:r>
      <w:r>
        <w:t>[cited</w:t>
      </w:r>
      <w:r>
        <w:rPr>
          <w:spacing w:val="-5"/>
        </w:rPr>
        <w:t xml:space="preserve"> </w:t>
      </w:r>
      <w:r>
        <w:t>10/04/2019].</w:t>
      </w:r>
      <w:r>
        <w:rPr>
          <w:spacing w:val="-15"/>
        </w:rPr>
        <w:t xml:space="preserve"> </w:t>
      </w:r>
      <w:r>
        <w:t>Available</w:t>
      </w:r>
      <w:r>
        <w:rPr>
          <w:spacing w:val="-4"/>
        </w:rPr>
        <w:t xml:space="preserve"> </w:t>
      </w:r>
      <w:r>
        <w:t>from:</w:t>
      </w:r>
      <w:hyperlink r:id="rId25">
        <w:r>
          <w:t xml:space="preserve"> https://www.data.gov.au/dataset/</w:t>
        </w:r>
      </w:hyperlink>
    </w:p>
    <w:p w:rsidR="005330BF" w:rsidRDefault="00136814">
      <w:pPr>
        <w:pStyle w:val="ListParagraph"/>
        <w:numPr>
          <w:ilvl w:val="0"/>
          <w:numId w:val="1"/>
        </w:numPr>
        <w:tabs>
          <w:tab w:val="left" w:pos="563"/>
          <w:tab w:val="left" w:pos="564"/>
        </w:tabs>
        <w:spacing w:before="151" w:line="276" w:lineRule="auto"/>
        <w:ind w:right="2187" w:hanging="453"/>
      </w:pPr>
      <w:r>
        <w:t>Department of Social Services. DSS Statistical Summary (June 2018). Canberra, Australia: Department of Social Services;</w:t>
      </w:r>
      <w:r>
        <w:rPr>
          <w:spacing w:val="-4"/>
        </w:rPr>
        <w:t xml:space="preserve"> </w:t>
      </w:r>
      <w:r>
        <w:t>2018.</w:t>
      </w:r>
    </w:p>
    <w:p w:rsidR="005330BF" w:rsidRDefault="00136814">
      <w:pPr>
        <w:pStyle w:val="ListParagraph"/>
        <w:numPr>
          <w:ilvl w:val="0"/>
          <w:numId w:val="1"/>
        </w:numPr>
        <w:tabs>
          <w:tab w:val="left" w:pos="563"/>
          <w:tab w:val="left" w:pos="564"/>
        </w:tabs>
        <w:spacing w:before="151" w:line="276" w:lineRule="auto"/>
        <w:ind w:right="1973" w:hanging="453"/>
      </w:pPr>
      <w:r>
        <w:t xml:space="preserve">Department of Social Services. </w:t>
      </w:r>
      <w:r>
        <w:rPr>
          <w:spacing w:val="-3"/>
        </w:rPr>
        <w:t xml:space="preserve">Valuation </w:t>
      </w:r>
      <w:r>
        <w:t xml:space="preserve">Report 30 June 2015: Baseline </w:t>
      </w:r>
      <w:r>
        <w:rPr>
          <w:spacing w:val="-3"/>
        </w:rPr>
        <w:t xml:space="preserve">Valuation. </w:t>
      </w:r>
      <w:r>
        <w:t>Canberra: Commonwealth of Australia,</w:t>
      </w:r>
      <w:r>
        <w:rPr>
          <w:spacing w:val="-16"/>
        </w:rPr>
        <w:t xml:space="preserve"> </w:t>
      </w:r>
      <w:r>
        <w:t>2016.</w:t>
      </w:r>
    </w:p>
    <w:p w:rsidR="005330BF" w:rsidRDefault="00136814">
      <w:pPr>
        <w:pStyle w:val="ListParagraph"/>
        <w:numPr>
          <w:ilvl w:val="0"/>
          <w:numId w:val="1"/>
        </w:numPr>
        <w:tabs>
          <w:tab w:val="left" w:pos="563"/>
          <w:tab w:val="left" w:pos="564"/>
        </w:tabs>
        <w:spacing w:before="151" w:line="276" w:lineRule="auto"/>
        <w:ind w:right="1649" w:hanging="453"/>
      </w:pPr>
      <w:r>
        <w:t>Depar</w:t>
      </w:r>
      <w:r>
        <w:t>tment</w:t>
      </w:r>
      <w:r>
        <w:rPr>
          <w:spacing w:val="-4"/>
        </w:rPr>
        <w:t xml:space="preserve"> </w:t>
      </w:r>
      <w:r>
        <w:t>of</w:t>
      </w:r>
      <w:r>
        <w:rPr>
          <w:spacing w:val="-4"/>
        </w:rPr>
        <w:t xml:space="preserve"> </w:t>
      </w:r>
      <w:r>
        <w:t>Social</w:t>
      </w:r>
      <w:r>
        <w:rPr>
          <w:spacing w:val="-3"/>
        </w:rPr>
        <w:t xml:space="preserve"> </w:t>
      </w:r>
      <w:r>
        <w:t>Services.</w:t>
      </w:r>
      <w:r>
        <w:rPr>
          <w:spacing w:val="-2"/>
        </w:rPr>
        <w:t xml:space="preserve"> </w:t>
      </w:r>
      <w:r>
        <w:t>Labour</w:t>
      </w:r>
      <w:r>
        <w:rPr>
          <w:spacing w:val="-4"/>
        </w:rPr>
        <w:t xml:space="preserve"> </w:t>
      </w:r>
      <w:r>
        <w:t>market</w:t>
      </w:r>
      <w:r>
        <w:rPr>
          <w:spacing w:val="-3"/>
        </w:rPr>
        <w:t xml:space="preserve"> </w:t>
      </w:r>
      <w:r>
        <w:t>and</w:t>
      </w:r>
      <w:r>
        <w:rPr>
          <w:spacing w:val="-4"/>
        </w:rPr>
        <w:t xml:space="preserve"> </w:t>
      </w:r>
      <w:r>
        <w:t>related</w:t>
      </w:r>
      <w:r>
        <w:rPr>
          <w:spacing w:val="-2"/>
        </w:rPr>
        <w:t xml:space="preserve"> </w:t>
      </w:r>
      <w:r>
        <w:t>payments:</w:t>
      </w:r>
      <w:r>
        <w:rPr>
          <w:spacing w:val="-15"/>
        </w:rPr>
        <w:t xml:space="preserve"> </w:t>
      </w:r>
      <w:r>
        <w:t>A</w:t>
      </w:r>
      <w:r>
        <w:rPr>
          <w:spacing w:val="-14"/>
        </w:rPr>
        <w:t xml:space="preserve"> </w:t>
      </w:r>
      <w:r>
        <w:t>monthly</w:t>
      </w:r>
      <w:r>
        <w:rPr>
          <w:spacing w:val="-3"/>
        </w:rPr>
        <w:t xml:space="preserve"> </w:t>
      </w:r>
      <w:r>
        <w:t>profile (Feb 2019). Canberra: Australia: Department of Social Services;</w:t>
      </w:r>
      <w:r>
        <w:rPr>
          <w:spacing w:val="-22"/>
        </w:rPr>
        <w:t xml:space="preserve"> </w:t>
      </w:r>
      <w:r>
        <w:t>2019.</w:t>
      </w:r>
    </w:p>
    <w:p w:rsidR="005330BF" w:rsidRDefault="00136814">
      <w:pPr>
        <w:pStyle w:val="ListParagraph"/>
        <w:numPr>
          <w:ilvl w:val="0"/>
          <w:numId w:val="1"/>
        </w:numPr>
        <w:tabs>
          <w:tab w:val="left" w:pos="563"/>
          <w:tab w:val="left" w:pos="564"/>
        </w:tabs>
        <w:spacing w:before="151" w:line="276" w:lineRule="auto"/>
        <w:ind w:right="1527" w:hanging="453"/>
      </w:pPr>
      <w:r>
        <w:t>Parliamentary Budget Office. Disability Support Pension: Historical and projected trends Canberra: Parliament of Australia;</w:t>
      </w:r>
      <w:r>
        <w:rPr>
          <w:spacing w:val="-14"/>
        </w:rPr>
        <w:t xml:space="preserve"> </w:t>
      </w:r>
      <w:r>
        <w:t>2018.</w:t>
      </w:r>
    </w:p>
    <w:p w:rsidR="005330BF" w:rsidRDefault="00136814">
      <w:pPr>
        <w:pStyle w:val="ListParagraph"/>
        <w:numPr>
          <w:ilvl w:val="0"/>
          <w:numId w:val="1"/>
        </w:numPr>
        <w:tabs>
          <w:tab w:val="left" w:pos="563"/>
          <w:tab w:val="left" w:pos="564"/>
        </w:tabs>
        <w:spacing w:before="152" w:line="278" w:lineRule="auto"/>
        <w:ind w:right="1849" w:hanging="453"/>
      </w:pPr>
      <w:r>
        <w:t>Soldatic</w:t>
      </w:r>
      <w:r>
        <w:rPr>
          <w:spacing w:val="-2"/>
        </w:rPr>
        <w:t xml:space="preserve"> </w:t>
      </w:r>
      <w:r>
        <w:t>K,</w:t>
      </w:r>
      <w:r>
        <w:rPr>
          <w:spacing w:val="-2"/>
        </w:rPr>
        <w:t xml:space="preserve"> </w:t>
      </w:r>
      <w:r>
        <w:t>Fitts</w:t>
      </w:r>
      <w:r>
        <w:rPr>
          <w:spacing w:val="-2"/>
        </w:rPr>
        <w:t xml:space="preserve"> </w:t>
      </w:r>
      <w:r>
        <w:t>M.</w:t>
      </w:r>
      <w:r>
        <w:rPr>
          <w:spacing w:val="-14"/>
        </w:rPr>
        <w:t xml:space="preserve"> </w:t>
      </w:r>
      <w:r>
        <w:t>At</w:t>
      </w:r>
      <w:r>
        <w:rPr>
          <w:spacing w:val="-2"/>
        </w:rPr>
        <w:t xml:space="preserve"> </w:t>
      </w:r>
      <w:r>
        <w:t>what</w:t>
      </w:r>
      <w:r>
        <w:rPr>
          <w:spacing w:val="-3"/>
        </w:rPr>
        <w:t xml:space="preserve"> </w:t>
      </w:r>
      <w:r>
        <w:t>cost?</w:t>
      </w:r>
      <w:r>
        <w:rPr>
          <w:spacing w:val="-1"/>
        </w:rPr>
        <w:t xml:space="preserve"> </w:t>
      </w:r>
      <w:r>
        <w:t>Indigenous</w:t>
      </w:r>
      <w:r>
        <w:rPr>
          <w:spacing w:val="-14"/>
        </w:rPr>
        <w:t xml:space="preserve"> </w:t>
      </w:r>
      <w:r>
        <w:t>Australians’</w:t>
      </w:r>
      <w:r>
        <w:rPr>
          <w:spacing w:val="-9"/>
        </w:rPr>
        <w:t xml:space="preserve"> </w:t>
      </w:r>
      <w:r>
        <w:t>experiences</w:t>
      </w:r>
      <w:r>
        <w:rPr>
          <w:spacing w:val="-3"/>
        </w:rPr>
        <w:t xml:space="preserve"> </w:t>
      </w:r>
      <w:r>
        <w:t>of</w:t>
      </w:r>
      <w:r>
        <w:rPr>
          <w:spacing w:val="-3"/>
        </w:rPr>
        <w:t xml:space="preserve"> </w:t>
      </w:r>
      <w:r>
        <w:t>applying</w:t>
      </w:r>
      <w:r>
        <w:rPr>
          <w:spacing w:val="-3"/>
        </w:rPr>
        <w:t xml:space="preserve"> </w:t>
      </w:r>
      <w:r>
        <w:t xml:space="preserve">for disability income support (Disability Support Pension). Penrith, New South </w:t>
      </w:r>
      <w:r>
        <w:rPr>
          <w:spacing w:val="-3"/>
        </w:rPr>
        <w:t xml:space="preserve">Wales: </w:t>
      </w:r>
      <w:r>
        <w:t xml:space="preserve">Institute for Culture and </w:t>
      </w:r>
      <w:r>
        <w:rPr>
          <w:spacing w:val="-3"/>
        </w:rPr>
        <w:t xml:space="preserve">Society, </w:t>
      </w:r>
      <w:r>
        <w:t>Western Sydney University;</w:t>
      </w:r>
      <w:r>
        <w:rPr>
          <w:spacing w:val="-7"/>
        </w:rPr>
        <w:t xml:space="preserve"> </w:t>
      </w:r>
      <w:r>
        <w:t>2018.</w:t>
      </w:r>
    </w:p>
    <w:p w:rsidR="005330BF" w:rsidRDefault="00136814">
      <w:pPr>
        <w:pStyle w:val="ListParagraph"/>
        <w:numPr>
          <w:ilvl w:val="0"/>
          <w:numId w:val="1"/>
        </w:numPr>
        <w:tabs>
          <w:tab w:val="left" w:pos="563"/>
          <w:tab w:val="left" w:pos="564"/>
        </w:tabs>
        <w:spacing w:before="146" w:line="278" w:lineRule="auto"/>
        <w:ind w:right="1424" w:hanging="453"/>
      </w:pPr>
      <w:r>
        <w:t>The</w:t>
      </w:r>
      <w:r>
        <w:rPr>
          <w:spacing w:val="-14"/>
        </w:rPr>
        <w:t xml:space="preserve"> </w:t>
      </w:r>
      <w:r>
        <w:t>Auditor</w:t>
      </w:r>
      <w:r>
        <w:rPr>
          <w:spacing w:val="-2"/>
        </w:rPr>
        <w:t xml:space="preserve"> </w:t>
      </w:r>
      <w:r>
        <w:t>General.</w:t>
      </w:r>
      <w:r>
        <w:rPr>
          <w:spacing w:val="-1"/>
        </w:rPr>
        <w:t xml:space="preserve"> </w:t>
      </w:r>
      <w:r>
        <w:t>Disability</w:t>
      </w:r>
      <w:r>
        <w:rPr>
          <w:spacing w:val="-3"/>
        </w:rPr>
        <w:t xml:space="preserve"> </w:t>
      </w:r>
      <w:r>
        <w:t>Support</w:t>
      </w:r>
      <w:r>
        <w:rPr>
          <w:spacing w:val="-2"/>
        </w:rPr>
        <w:t xml:space="preserve"> </w:t>
      </w:r>
      <w:r>
        <w:t>Pension</w:t>
      </w:r>
      <w:r>
        <w:rPr>
          <w:spacing w:val="-1"/>
        </w:rPr>
        <w:t xml:space="preserve"> </w:t>
      </w:r>
      <w:r>
        <w:t>—</w:t>
      </w:r>
      <w:r>
        <w:rPr>
          <w:spacing w:val="-2"/>
        </w:rPr>
        <w:t xml:space="preserve"> </w:t>
      </w:r>
      <w:r>
        <w:t>Follow-on</w:t>
      </w:r>
      <w:r>
        <w:rPr>
          <w:spacing w:val="-14"/>
        </w:rPr>
        <w:t xml:space="preserve"> </w:t>
      </w:r>
      <w:r>
        <w:t>Audit.</w:t>
      </w:r>
      <w:r>
        <w:rPr>
          <w:spacing w:val="-1"/>
        </w:rPr>
        <w:t xml:space="preserve"> </w:t>
      </w:r>
      <w:r>
        <w:t>Canberra:</w:t>
      </w:r>
      <w:r>
        <w:rPr>
          <w:spacing w:val="-14"/>
        </w:rPr>
        <w:t xml:space="preserve"> </w:t>
      </w:r>
      <w:r>
        <w:t>Australian National Audit</w:t>
      </w:r>
      <w:r>
        <w:t xml:space="preserve"> Office; 2018 29 November 2018. Contract No.: Auditor-General Report No.13</w:t>
      </w:r>
      <w:r>
        <w:rPr>
          <w:spacing w:val="-2"/>
        </w:rPr>
        <w:t xml:space="preserve"> </w:t>
      </w:r>
      <w:r>
        <w:t>2018–19</w:t>
      </w:r>
    </w:p>
    <w:p w:rsidR="005330BF" w:rsidRDefault="00136814">
      <w:pPr>
        <w:pStyle w:val="ListParagraph"/>
        <w:numPr>
          <w:ilvl w:val="0"/>
          <w:numId w:val="1"/>
        </w:numPr>
        <w:tabs>
          <w:tab w:val="left" w:pos="563"/>
          <w:tab w:val="left" w:pos="564"/>
        </w:tabs>
        <w:spacing w:before="145" w:line="278" w:lineRule="auto"/>
        <w:ind w:right="2090" w:hanging="453"/>
      </w:pPr>
      <w:r>
        <w:t>Milner</w:t>
      </w:r>
      <w:r>
        <w:rPr>
          <w:spacing w:val="-15"/>
        </w:rPr>
        <w:t xml:space="preserve"> </w:t>
      </w:r>
      <w:r>
        <w:t>A,</w:t>
      </w:r>
      <w:r>
        <w:rPr>
          <w:spacing w:val="-3"/>
        </w:rPr>
        <w:t xml:space="preserve"> </w:t>
      </w:r>
      <w:r>
        <w:t>Page</w:t>
      </w:r>
      <w:r>
        <w:rPr>
          <w:spacing w:val="-14"/>
        </w:rPr>
        <w:t xml:space="preserve"> </w:t>
      </w:r>
      <w:r>
        <w:t>A,</w:t>
      </w:r>
      <w:r>
        <w:rPr>
          <w:spacing w:val="-3"/>
        </w:rPr>
        <w:t xml:space="preserve"> </w:t>
      </w:r>
      <w:r>
        <w:t>LaMontagne</w:t>
      </w:r>
      <w:r>
        <w:rPr>
          <w:spacing w:val="-14"/>
        </w:rPr>
        <w:t xml:space="preserve"> </w:t>
      </w:r>
      <w:r>
        <w:t>AD.</w:t>
      </w:r>
      <w:r>
        <w:rPr>
          <w:spacing w:val="-3"/>
        </w:rPr>
        <w:t xml:space="preserve"> </w:t>
      </w:r>
      <w:r>
        <w:t>Cause</w:t>
      </w:r>
      <w:r>
        <w:rPr>
          <w:spacing w:val="-4"/>
        </w:rPr>
        <w:t xml:space="preserve"> </w:t>
      </w:r>
      <w:r>
        <w:t>and</w:t>
      </w:r>
      <w:r>
        <w:rPr>
          <w:spacing w:val="-3"/>
        </w:rPr>
        <w:t xml:space="preserve"> </w:t>
      </w:r>
      <w:r>
        <w:t>effect</w:t>
      </w:r>
      <w:r>
        <w:rPr>
          <w:spacing w:val="-3"/>
        </w:rPr>
        <w:t xml:space="preserve"> </w:t>
      </w:r>
      <w:r>
        <w:t>in</w:t>
      </w:r>
      <w:r>
        <w:rPr>
          <w:spacing w:val="-4"/>
        </w:rPr>
        <w:t xml:space="preserve"> </w:t>
      </w:r>
      <w:r>
        <w:t>studies</w:t>
      </w:r>
      <w:r>
        <w:rPr>
          <w:spacing w:val="-3"/>
        </w:rPr>
        <w:t xml:space="preserve"> </w:t>
      </w:r>
      <w:r>
        <w:t>on</w:t>
      </w:r>
      <w:r>
        <w:rPr>
          <w:spacing w:val="-4"/>
        </w:rPr>
        <w:t xml:space="preserve"> </w:t>
      </w:r>
      <w:r>
        <w:t>unemployment, mental health and suicide: a meta-analytic and conceptual review. Psychological medicine.</w:t>
      </w:r>
      <w:r>
        <w:rPr>
          <w:spacing w:val="-1"/>
        </w:rPr>
        <w:t xml:space="preserve"> </w:t>
      </w:r>
      <w:r>
        <w:t>2014;</w:t>
      </w:r>
      <w:r>
        <w:t>44(5):909-17.</w:t>
      </w:r>
    </w:p>
    <w:p w:rsidR="005330BF" w:rsidRDefault="00136814">
      <w:pPr>
        <w:pStyle w:val="ListParagraph"/>
        <w:numPr>
          <w:ilvl w:val="0"/>
          <w:numId w:val="1"/>
        </w:numPr>
        <w:tabs>
          <w:tab w:val="left" w:pos="563"/>
          <w:tab w:val="left" w:pos="564"/>
        </w:tabs>
        <w:spacing w:before="146" w:line="278" w:lineRule="auto"/>
        <w:ind w:right="1661" w:hanging="453"/>
      </w:pPr>
      <w:r>
        <w:t xml:space="preserve">Roelfs DJ, Shor E, Davidson </w:t>
      </w:r>
      <w:r>
        <w:rPr>
          <w:spacing w:val="-4"/>
        </w:rPr>
        <w:t xml:space="preserve">KW, </w:t>
      </w:r>
      <w:r>
        <w:t>Schwartz JE. Losing life and livelihood: a systematic review and meta-analysis of unemployment and all-cause mortality. Soc Sci Med. 2011;72(6):840-54.</w:t>
      </w:r>
    </w:p>
    <w:p w:rsidR="005330BF" w:rsidRDefault="00136814">
      <w:pPr>
        <w:pStyle w:val="ListParagraph"/>
        <w:numPr>
          <w:ilvl w:val="0"/>
          <w:numId w:val="1"/>
        </w:numPr>
        <w:tabs>
          <w:tab w:val="left" w:pos="563"/>
          <w:tab w:val="left" w:pos="564"/>
        </w:tabs>
        <w:spacing w:before="146" w:line="278" w:lineRule="auto"/>
        <w:ind w:right="1394" w:hanging="453"/>
      </w:pPr>
      <w:r>
        <w:t xml:space="preserve">Butterworth </w:t>
      </w:r>
      <w:r>
        <w:rPr>
          <w:spacing w:val="-15"/>
        </w:rPr>
        <w:t xml:space="preserve">P, </w:t>
      </w:r>
      <w:r>
        <w:t xml:space="preserve">Burgess PM, Whiteford H. Examining welfare </w:t>
      </w:r>
      <w:r>
        <w:t>receipt and mental disorders after a decade of reform and prosperity: analysis of the 2007 National Survey of Mental Health and Wellbeing. Aust N Z J Psychiatry.</w:t>
      </w:r>
      <w:r>
        <w:rPr>
          <w:spacing w:val="-26"/>
        </w:rPr>
        <w:t xml:space="preserve"> </w:t>
      </w:r>
      <w:r>
        <w:t>2011;45(1):54-62.</w:t>
      </w:r>
    </w:p>
    <w:p w:rsidR="005330BF" w:rsidRDefault="00136814">
      <w:pPr>
        <w:pStyle w:val="ListParagraph"/>
        <w:numPr>
          <w:ilvl w:val="0"/>
          <w:numId w:val="1"/>
        </w:numPr>
        <w:tabs>
          <w:tab w:val="left" w:pos="563"/>
          <w:tab w:val="left" w:pos="564"/>
        </w:tabs>
        <w:spacing w:before="146" w:line="278" w:lineRule="auto"/>
        <w:ind w:right="1627" w:hanging="453"/>
      </w:pPr>
      <w:r>
        <w:t xml:space="preserve">Kiely KM, Butterworth </w:t>
      </w:r>
      <w:r>
        <w:rPr>
          <w:spacing w:val="-15"/>
        </w:rPr>
        <w:t xml:space="preserve">P. </w:t>
      </w:r>
      <w:r>
        <w:t>Social disadvantage and individual vulnerability: a longitudinal investigation of welfare receipt and mental health in Australia. Aust N Z J Psychiatry. 2013;47(7):654-66.</w:t>
      </w:r>
    </w:p>
    <w:p w:rsidR="005330BF" w:rsidRDefault="00136814">
      <w:pPr>
        <w:pStyle w:val="ListParagraph"/>
        <w:numPr>
          <w:ilvl w:val="0"/>
          <w:numId w:val="1"/>
        </w:numPr>
        <w:tabs>
          <w:tab w:val="left" w:pos="563"/>
          <w:tab w:val="left" w:pos="564"/>
        </w:tabs>
        <w:spacing w:before="146" w:line="278" w:lineRule="auto"/>
        <w:ind w:right="1528" w:hanging="453"/>
      </w:pPr>
      <w:r>
        <w:t xml:space="preserve">Jensen NK, Bronnum-Hansen H, Andersen I, Thielen K, McAllister A, Burstrom B, et al. </w:t>
      </w:r>
      <w:r>
        <w:rPr>
          <w:spacing w:val="-9"/>
        </w:rPr>
        <w:t xml:space="preserve">Too </w:t>
      </w:r>
      <w:r>
        <w:t>sick to work, too healthy to qualify: a cross-country analysis of the effect of changes to disability benefits. J Epidemiol Community Health.</w:t>
      </w:r>
      <w:r>
        <w:rPr>
          <w:spacing w:val="-9"/>
        </w:rPr>
        <w:t xml:space="preserve"> </w:t>
      </w:r>
      <w:r>
        <w:t>2019.</w:t>
      </w:r>
    </w:p>
    <w:p w:rsidR="005330BF" w:rsidRDefault="00136814">
      <w:pPr>
        <w:pStyle w:val="ListParagraph"/>
        <w:numPr>
          <w:ilvl w:val="0"/>
          <w:numId w:val="1"/>
        </w:numPr>
        <w:tabs>
          <w:tab w:val="left" w:pos="563"/>
          <w:tab w:val="left" w:pos="564"/>
        </w:tabs>
        <w:spacing w:before="146" w:line="278" w:lineRule="auto"/>
        <w:ind w:right="1420" w:hanging="453"/>
      </w:pPr>
      <w:r>
        <w:t xml:space="preserve">Barr B, </w:t>
      </w:r>
      <w:r>
        <w:rPr>
          <w:spacing w:val="-3"/>
        </w:rPr>
        <w:t>Taylor-Robi</w:t>
      </w:r>
      <w:r>
        <w:rPr>
          <w:spacing w:val="-3"/>
        </w:rPr>
        <w:t xml:space="preserve">nson </w:t>
      </w:r>
      <w:r>
        <w:t xml:space="preserve">D, Stuckler D, Loopstra R, Reeves A, Whitehead M. ‘First, do no harm’: are disability assessments associated with adverse trends in mental health? A longitudinal ecological </w:t>
      </w:r>
      <w:r>
        <w:rPr>
          <w:spacing w:val="-3"/>
        </w:rPr>
        <w:t xml:space="preserve">study. </w:t>
      </w:r>
      <w:r>
        <w:t>J Epidemiol Community Health.</w:t>
      </w:r>
      <w:r>
        <w:rPr>
          <w:spacing w:val="-18"/>
        </w:rPr>
        <w:t xml:space="preserve"> </w:t>
      </w:r>
      <w:r>
        <w:t>2016;70(4):339-45.</w:t>
      </w:r>
    </w:p>
    <w:p w:rsidR="005330BF" w:rsidRDefault="005330BF">
      <w:pPr>
        <w:spacing w:line="278" w:lineRule="auto"/>
        <w:sectPr w:rsidR="005330BF">
          <w:pgSz w:w="11910" w:h="16840"/>
          <w:pgMar w:top="1060" w:right="540" w:bottom="560" w:left="740" w:header="0" w:footer="290" w:gutter="0"/>
          <w:cols w:space="720"/>
        </w:sectPr>
      </w:pPr>
    </w:p>
    <w:p w:rsidR="005330BF" w:rsidRDefault="00136814">
      <w:pPr>
        <w:pStyle w:val="ListParagraph"/>
        <w:numPr>
          <w:ilvl w:val="0"/>
          <w:numId w:val="1"/>
        </w:numPr>
        <w:tabs>
          <w:tab w:val="left" w:pos="564"/>
        </w:tabs>
        <w:spacing w:before="45" w:line="278" w:lineRule="auto"/>
        <w:ind w:right="1996" w:hanging="453"/>
        <w:jc w:val="both"/>
      </w:pPr>
      <w:bookmarkStart w:id="97" w:name="_bookmark56"/>
      <w:bookmarkStart w:id="98" w:name="_bookmark55"/>
      <w:bookmarkEnd w:id="97"/>
      <w:bookmarkEnd w:id="98"/>
      <w:r>
        <w:t>Shah</w:t>
      </w:r>
      <w:r>
        <w:t xml:space="preserve">idi </w:t>
      </w:r>
      <w:r>
        <w:rPr>
          <w:spacing w:val="-7"/>
        </w:rPr>
        <w:t xml:space="preserve">FV, </w:t>
      </w:r>
      <w:r>
        <w:t xml:space="preserve">Ramraj C, Sod-Erdene O, Hildebrand </w:t>
      </w:r>
      <w:r>
        <w:rPr>
          <w:spacing w:val="-11"/>
        </w:rPr>
        <w:t xml:space="preserve">V, </w:t>
      </w:r>
      <w:r>
        <w:t>Siddiqi A. The impact of social assistance programs on population health: a systematic review of research in high- income countries. BMC Public Health.</w:t>
      </w:r>
      <w:r>
        <w:rPr>
          <w:spacing w:val="-5"/>
        </w:rPr>
        <w:t xml:space="preserve"> </w:t>
      </w:r>
      <w:r>
        <w:t>2019;19(1):2.</w:t>
      </w:r>
    </w:p>
    <w:p w:rsidR="005330BF" w:rsidRDefault="00136814">
      <w:pPr>
        <w:pStyle w:val="ListParagraph"/>
        <w:numPr>
          <w:ilvl w:val="0"/>
          <w:numId w:val="1"/>
        </w:numPr>
        <w:tabs>
          <w:tab w:val="left" w:pos="563"/>
          <w:tab w:val="left" w:pos="564"/>
        </w:tabs>
        <w:spacing w:before="146" w:line="278" w:lineRule="auto"/>
        <w:ind w:right="1894" w:hanging="453"/>
      </w:pPr>
      <w:r>
        <w:t>Australian Bureau of Statistics. National He</w:t>
      </w:r>
      <w:r>
        <w:t>alth Survey (2014-15), Expanded Confidentialised</w:t>
      </w:r>
      <w:r>
        <w:rPr>
          <w:spacing w:val="-6"/>
        </w:rPr>
        <w:t xml:space="preserve"> </w:t>
      </w:r>
      <w:r>
        <w:t>Unit</w:t>
      </w:r>
      <w:r>
        <w:rPr>
          <w:spacing w:val="-5"/>
        </w:rPr>
        <w:t xml:space="preserve"> </w:t>
      </w:r>
      <w:r>
        <w:t>Record</w:t>
      </w:r>
      <w:r>
        <w:rPr>
          <w:spacing w:val="-5"/>
        </w:rPr>
        <w:t xml:space="preserve"> </w:t>
      </w:r>
      <w:r>
        <w:t>File</w:t>
      </w:r>
      <w:r>
        <w:rPr>
          <w:spacing w:val="-4"/>
        </w:rPr>
        <w:t xml:space="preserve"> </w:t>
      </w:r>
      <w:r>
        <w:t>(CURF),</w:t>
      </w:r>
      <w:r>
        <w:rPr>
          <w:spacing w:val="-4"/>
        </w:rPr>
        <w:t xml:space="preserve"> </w:t>
      </w:r>
      <w:r>
        <w:t>Remote</w:t>
      </w:r>
      <w:r>
        <w:rPr>
          <w:spacing w:val="-16"/>
        </w:rPr>
        <w:t xml:space="preserve"> </w:t>
      </w:r>
      <w:r>
        <w:t>Access</w:t>
      </w:r>
      <w:r>
        <w:rPr>
          <w:spacing w:val="-4"/>
        </w:rPr>
        <w:t xml:space="preserve"> </w:t>
      </w:r>
      <w:r>
        <w:t>Data</w:t>
      </w:r>
      <w:r>
        <w:rPr>
          <w:spacing w:val="-5"/>
        </w:rPr>
        <w:t xml:space="preserve"> </w:t>
      </w:r>
      <w:r>
        <w:t>Laboratory</w:t>
      </w:r>
      <w:r>
        <w:rPr>
          <w:spacing w:val="-5"/>
        </w:rPr>
        <w:t xml:space="preserve"> </w:t>
      </w:r>
      <w:r>
        <w:t xml:space="preserve">(RADL). Findings based on use of ABS Microdata. In: Statistics ABo, </w:t>
      </w:r>
      <w:r>
        <w:rPr>
          <w:spacing w:val="-3"/>
        </w:rPr>
        <w:t>editor.</w:t>
      </w:r>
      <w:r>
        <w:rPr>
          <w:spacing w:val="-32"/>
        </w:rPr>
        <w:t xml:space="preserve"> </w:t>
      </w:r>
      <w:r>
        <w:t>2017.</w:t>
      </w:r>
    </w:p>
    <w:p w:rsidR="005330BF" w:rsidRDefault="00136814">
      <w:pPr>
        <w:pStyle w:val="ListParagraph"/>
        <w:numPr>
          <w:ilvl w:val="0"/>
          <w:numId w:val="1"/>
        </w:numPr>
        <w:tabs>
          <w:tab w:val="left" w:pos="563"/>
          <w:tab w:val="left" w:pos="564"/>
        </w:tabs>
        <w:spacing w:before="145" w:line="276" w:lineRule="auto"/>
        <w:ind w:right="1508" w:hanging="453"/>
      </w:pPr>
      <w:r>
        <w:t>Australian Bureau of Statistics. 4363.0 - National Health Survey: User</w:t>
      </w:r>
      <w:r>
        <w:t>s’ Guide,</w:t>
      </w:r>
      <w:r>
        <w:rPr>
          <w:spacing w:val="-42"/>
        </w:rPr>
        <w:t xml:space="preserve"> </w:t>
      </w:r>
      <w:r>
        <w:t>2014-15. Canberra, Australia;</w:t>
      </w:r>
      <w:r>
        <w:rPr>
          <w:spacing w:val="-13"/>
        </w:rPr>
        <w:t xml:space="preserve"> </w:t>
      </w:r>
      <w:r>
        <w:t>2015.</w:t>
      </w:r>
    </w:p>
    <w:p w:rsidR="005330BF" w:rsidRDefault="00136814">
      <w:pPr>
        <w:pStyle w:val="ListParagraph"/>
        <w:numPr>
          <w:ilvl w:val="0"/>
          <w:numId w:val="1"/>
        </w:numPr>
        <w:tabs>
          <w:tab w:val="left" w:pos="563"/>
          <w:tab w:val="left" w:pos="564"/>
        </w:tabs>
        <w:spacing w:before="152" w:line="276" w:lineRule="auto"/>
        <w:ind w:right="2074" w:hanging="453"/>
      </w:pPr>
      <w:r>
        <w:t>Waddell</w:t>
      </w:r>
      <w:r>
        <w:rPr>
          <w:spacing w:val="-3"/>
        </w:rPr>
        <w:t xml:space="preserve"> </w:t>
      </w:r>
      <w:r>
        <w:t>G,</w:t>
      </w:r>
      <w:r>
        <w:rPr>
          <w:spacing w:val="-3"/>
        </w:rPr>
        <w:t xml:space="preserve"> </w:t>
      </w:r>
      <w:r>
        <w:t>Burton</w:t>
      </w:r>
      <w:r>
        <w:rPr>
          <w:spacing w:val="-16"/>
        </w:rPr>
        <w:t xml:space="preserve"> </w:t>
      </w:r>
      <w:r>
        <w:t>AK.</w:t>
      </w:r>
      <w:r>
        <w:rPr>
          <w:spacing w:val="-3"/>
        </w:rPr>
        <w:t xml:space="preserve"> </w:t>
      </w:r>
      <w:r>
        <w:t>Is</w:t>
      </w:r>
      <w:r>
        <w:rPr>
          <w:spacing w:val="-3"/>
        </w:rPr>
        <w:t xml:space="preserve"> </w:t>
      </w:r>
      <w:r>
        <w:t>work</w:t>
      </w:r>
      <w:r>
        <w:rPr>
          <w:spacing w:val="-4"/>
        </w:rPr>
        <w:t xml:space="preserve"> </w:t>
      </w:r>
      <w:r>
        <w:t>good</w:t>
      </w:r>
      <w:r>
        <w:rPr>
          <w:spacing w:val="-4"/>
        </w:rPr>
        <w:t xml:space="preserve"> </w:t>
      </w:r>
      <w:r>
        <w:t>for</w:t>
      </w:r>
      <w:r>
        <w:rPr>
          <w:spacing w:val="-3"/>
        </w:rPr>
        <w:t xml:space="preserve"> </w:t>
      </w:r>
      <w:r>
        <w:t>your</w:t>
      </w:r>
      <w:r>
        <w:rPr>
          <w:spacing w:val="-3"/>
        </w:rPr>
        <w:t xml:space="preserve"> </w:t>
      </w:r>
      <w:r>
        <w:t>health</w:t>
      </w:r>
      <w:r>
        <w:rPr>
          <w:spacing w:val="-4"/>
        </w:rPr>
        <w:t xml:space="preserve"> </w:t>
      </w:r>
      <w:r>
        <w:t>and</w:t>
      </w:r>
      <w:r>
        <w:rPr>
          <w:spacing w:val="-3"/>
        </w:rPr>
        <w:t xml:space="preserve"> </w:t>
      </w:r>
      <w:r>
        <w:t>well-being?</w:t>
      </w:r>
      <w:r>
        <w:rPr>
          <w:spacing w:val="-4"/>
        </w:rPr>
        <w:t xml:space="preserve"> </w:t>
      </w:r>
      <w:r>
        <w:t>.</w:t>
      </w:r>
      <w:r>
        <w:rPr>
          <w:spacing w:val="-3"/>
        </w:rPr>
        <w:t xml:space="preserve"> </w:t>
      </w:r>
      <w:r>
        <w:t>London:</w:t>
      </w:r>
      <w:r>
        <w:rPr>
          <w:spacing w:val="-7"/>
        </w:rPr>
        <w:t xml:space="preserve"> </w:t>
      </w:r>
      <w:r>
        <w:t>The Stationery Office;</w:t>
      </w:r>
      <w:r>
        <w:rPr>
          <w:spacing w:val="-1"/>
        </w:rPr>
        <w:t xml:space="preserve"> </w:t>
      </w:r>
      <w:r>
        <w:t>2006.</w:t>
      </w:r>
    </w:p>
    <w:p w:rsidR="005330BF" w:rsidRDefault="00136814">
      <w:pPr>
        <w:pStyle w:val="ListParagraph"/>
        <w:numPr>
          <w:ilvl w:val="0"/>
          <w:numId w:val="1"/>
        </w:numPr>
        <w:tabs>
          <w:tab w:val="left" w:pos="563"/>
          <w:tab w:val="left" w:pos="564"/>
        </w:tabs>
        <w:spacing w:before="151" w:line="278" w:lineRule="auto"/>
        <w:ind w:right="1419" w:hanging="453"/>
      </w:pPr>
      <w:r>
        <w:t>Australasian Faculty of Occupational and Environmental Medicine. Australian and New Zealand Consensus Statement on the Health Benefits of Work: Position Statement - Realising</w:t>
      </w:r>
      <w:r>
        <w:rPr>
          <w:spacing w:val="-5"/>
        </w:rPr>
        <w:t xml:space="preserve"> </w:t>
      </w:r>
      <w:r>
        <w:t>the</w:t>
      </w:r>
      <w:r>
        <w:rPr>
          <w:spacing w:val="-4"/>
        </w:rPr>
        <w:t xml:space="preserve"> </w:t>
      </w:r>
      <w:r>
        <w:t>Health</w:t>
      </w:r>
      <w:r>
        <w:rPr>
          <w:spacing w:val="-4"/>
        </w:rPr>
        <w:t xml:space="preserve"> </w:t>
      </w:r>
      <w:r>
        <w:t>Benefits</w:t>
      </w:r>
      <w:r>
        <w:rPr>
          <w:spacing w:val="-4"/>
        </w:rPr>
        <w:t xml:space="preserve"> </w:t>
      </w:r>
      <w:r>
        <w:t>of</w:t>
      </w:r>
      <w:r>
        <w:rPr>
          <w:spacing w:val="-4"/>
        </w:rPr>
        <w:t xml:space="preserve"> </w:t>
      </w:r>
      <w:r>
        <w:t>Work.</w:t>
      </w:r>
      <w:r>
        <w:rPr>
          <w:spacing w:val="-5"/>
        </w:rPr>
        <w:t xml:space="preserve"> </w:t>
      </w:r>
      <w:r>
        <w:t>Canberra;</w:t>
      </w:r>
      <w:r>
        <w:rPr>
          <w:spacing w:val="-15"/>
        </w:rPr>
        <w:t xml:space="preserve"> </w:t>
      </w:r>
      <w:r>
        <w:t>Australia:</w:t>
      </w:r>
      <w:r>
        <w:rPr>
          <w:spacing w:val="-4"/>
        </w:rPr>
        <w:t xml:space="preserve"> </w:t>
      </w:r>
      <w:r>
        <w:t>Royal</w:t>
      </w:r>
      <w:r>
        <w:rPr>
          <w:spacing w:val="-14"/>
        </w:rPr>
        <w:t xml:space="preserve"> </w:t>
      </w:r>
      <w:r>
        <w:t>Australasian</w:t>
      </w:r>
      <w:r>
        <w:rPr>
          <w:spacing w:val="-4"/>
        </w:rPr>
        <w:t xml:space="preserve"> </w:t>
      </w:r>
      <w:r>
        <w:t>College</w:t>
      </w:r>
      <w:r>
        <w:rPr>
          <w:spacing w:val="-5"/>
        </w:rPr>
        <w:t xml:space="preserve"> </w:t>
      </w:r>
      <w:r>
        <w:t>of P</w:t>
      </w:r>
      <w:r>
        <w:t xml:space="preserve">hysicians; </w:t>
      </w:r>
      <w:r>
        <w:rPr>
          <w:spacing w:val="-5"/>
        </w:rPr>
        <w:t>2011.</w:t>
      </w:r>
    </w:p>
    <w:p w:rsidR="005330BF" w:rsidRDefault="00136814">
      <w:pPr>
        <w:pStyle w:val="ListParagraph"/>
        <w:numPr>
          <w:ilvl w:val="0"/>
          <w:numId w:val="1"/>
        </w:numPr>
        <w:tabs>
          <w:tab w:val="left" w:pos="563"/>
          <w:tab w:val="left" w:pos="564"/>
        </w:tabs>
        <w:spacing w:before="146" w:line="278" w:lineRule="auto"/>
        <w:ind w:right="1489" w:hanging="453"/>
      </w:pPr>
      <w:r>
        <w:t>Iles</w:t>
      </w:r>
      <w:r>
        <w:rPr>
          <w:spacing w:val="-3"/>
        </w:rPr>
        <w:t xml:space="preserve"> </w:t>
      </w:r>
      <w:r>
        <w:t>R,</w:t>
      </w:r>
      <w:r>
        <w:rPr>
          <w:spacing w:val="-3"/>
        </w:rPr>
        <w:t xml:space="preserve"> </w:t>
      </w:r>
      <w:r>
        <w:t>Long</w:t>
      </w:r>
      <w:r>
        <w:rPr>
          <w:spacing w:val="-3"/>
        </w:rPr>
        <w:t xml:space="preserve"> </w:t>
      </w:r>
      <w:r>
        <w:t>D,</w:t>
      </w:r>
      <w:r>
        <w:rPr>
          <w:spacing w:val="-3"/>
        </w:rPr>
        <w:t xml:space="preserve"> </w:t>
      </w:r>
      <w:r>
        <w:t>Ellis</w:t>
      </w:r>
      <w:r>
        <w:rPr>
          <w:spacing w:val="-3"/>
        </w:rPr>
        <w:t xml:space="preserve"> </w:t>
      </w:r>
      <w:r>
        <w:t>N,</w:t>
      </w:r>
      <w:r>
        <w:rPr>
          <w:spacing w:val="-3"/>
        </w:rPr>
        <w:t xml:space="preserve"> </w:t>
      </w:r>
      <w:r>
        <w:t>Collie</w:t>
      </w:r>
      <w:r>
        <w:rPr>
          <w:spacing w:val="-14"/>
        </w:rPr>
        <w:t xml:space="preserve"> </w:t>
      </w:r>
      <w:r>
        <w:t>A.</w:t>
      </w:r>
      <w:r>
        <w:rPr>
          <w:spacing w:val="-2"/>
        </w:rPr>
        <w:t xml:space="preserve"> </w:t>
      </w:r>
      <w:r>
        <w:t>Risk</w:t>
      </w:r>
      <w:r>
        <w:rPr>
          <w:spacing w:val="-3"/>
        </w:rPr>
        <w:t xml:space="preserve"> </w:t>
      </w:r>
      <w:r>
        <w:t>factor</w:t>
      </w:r>
      <w:r>
        <w:rPr>
          <w:spacing w:val="-2"/>
        </w:rPr>
        <w:t xml:space="preserve"> </w:t>
      </w:r>
      <w:r>
        <w:t>identification</w:t>
      </w:r>
      <w:r>
        <w:rPr>
          <w:spacing w:val="-3"/>
        </w:rPr>
        <w:t xml:space="preserve"> </w:t>
      </w:r>
      <w:r>
        <w:t>for</w:t>
      </w:r>
      <w:r>
        <w:rPr>
          <w:spacing w:val="-3"/>
        </w:rPr>
        <w:t xml:space="preserve"> </w:t>
      </w:r>
      <w:r>
        <w:t>delayed</w:t>
      </w:r>
      <w:r>
        <w:rPr>
          <w:spacing w:val="-3"/>
        </w:rPr>
        <w:t xml:space="preserve"> </w:t>
      </w:r>
      <w:r>
        <w:t>return</w:t>
      </w:r>
      <w:r>
        <w:rPr>
          <w:spacing w:val="-2"/>
        </w:rPr>
        <w:t xml:space="preserve"> </w:t>
      </w:r>
      <w:r>
        <w:t>to</w:t>
      </w:r>
      <w:r>
        <w:rPr>
          <w:spacing w:val="-2"/>
        </w:rPr>
        <w:t xml:space="preserve"> </w:t>
      </w:r>
      <w:r>
        <w:t>work:</w:t>
      </w:r>
      <w:r>
        <w:rPr>
          <w:spacing w:val="-4"/>
        </w:rPr>
        <w:t xml:space="preserve"> </w:t>
      </w:r>
      <w:r>
        <w:t>Best practice statement. Melbourne: Insurance Work and Health Group, Monash University; 2018 April</w:t>
      </w:r>
      <w:r>
        <w:rPr>
          <w:spacing w:val="-13"/>
        </w:rPr>
        <w:t xml:space="preserve"> </w:t>
      </w:r>
      <w:r>
        <w:t>2018.</w:t>
      </w:r>
    </w:p>
    <w:p w:rsidR="005330BF" w:rsidRDefault="00136814">
      <w:pPr>
        <w:pStyle w:val="ListParagraph"/>
        <w:numPr>
          <w:ilvl w:val="0"/>
          <w:numId w:val="1"/>
        </w:numPr>
        <w:tabs>
          <w:tab w:val="left" w:pos="563"/>
          <w:tab w:val="left" w:pos="564"/>
        </w:tabs>
        <w:spacing w:before="146" w:line="276" w:lineRule="auto"/>
        <w:ind w:right="1919" w:hanging="453"/>
      </w:pPr>
      <w:r>
        <w:t>Australian</w:t>
      </w:r>
      <w:r>
        <w:rPr>
          <w:spacing w:val="-4"/>
        </w:rPr>
        <w:t xml:space="preserve"> </w:t>
      </w:r>
      <w:r>
        <w:t>Institute</w:t>
      </w:r>
      <w:r>
        <w:rPr>
          <w:spacing w:val="-4"/>
        </w:rPr>
        <w:t xml:space="preserve"> </w:t>
      </w:r>
      <w:r>
        <w:t>of</w:t>
      </w:r>
      <w:r>
        <w:rPr>
          <w:spacing w:val="-4"/>
        </w:rPr>
        <w:t xml:space="preserve"> </w:t>
      </w:r>
      <w:r>
        <w:t>Health</w:t>
      </w:r>
      <w:r>
        <w:rPr>
          <w:spacing w:val="-4"/>
        </w:rPr>
        <w:t xml:space="preserve"> </w:t>
      </w:r>
      <w:r>
        <w:t>and</w:t>
      </w:r>
      <w:r>
        <w:rPr>
          <w:spacing w:val="-4"/>
        </w:rPr>
        <w:t xml:space="preserve"> </w:t>
      </w:r>
      <w:r>
        <w:t>Welfare.</w:t>
      </w:r>
      <w:r>
        <w:rPr>
          <w:spacing w:val="-15"/>
        </w:rPr>
        <w:t xml:space="preserve"> </w:t>
      </w:r>
      <w:r>
        <w:t>Admitted</w:t>
      </w:r>
      <w:r>
        <w:rPr>
          <w:spacing w:val="-3"/>
        </w:rPr>
        <w:t xml:space="preserve"> </w:t>
      </w:r>
      <w:r>
        <w:t>patient</w:t>
      </w:r>
      <w:r>
        <w:rPr>
          <w:spacing w:val="-4"/>
        </w:rPr>
        <w:t xml:space="preserve"> </w:t>
      </w:r>
      <w:r>
        <w:t>care</w:t>
      </w:r>
      <w:r>
        <w:rPr>
          <w:spacing w:val="-3"/>
        </w:rPr>
        <w:t xml:space="preserve"> </w:t>
      </w:r>
      <w:r>
        <w:t>2014-15:</w:t>
      </w:r>
      <w:r>
        <w:rPr>
          <w:spacing w:val="-14"/>
        </w:rPr>
        <w:t xml:space="preserve"> </w:t>
      </w:r>
      <w:r>
        <w:t>Australian hospital statistics. . Canberra, Australia; 2018. Contract No.: Cat no HSE</w:t>
      </w:r>
      <w:r>
        <w:rPr>
          <w:spacing w:val="-38"/>
        </w:rPr>
        <w:t xml:space="preserve"> </w:t>
      </w:r>
      <w:r>
        <w:t>172.</w:t>
      </w:r>
    </w:p>
    <w:p w:rsidR="005330BF" w:rsidRDefault="00136814">
      <w:pPr>
        <w:pStyle w:val="ListParagraph"/>
        <w:numPr>
          <w:ilvl w:val="0"/>
          <w:numId w:val="1"/>
        </w:numPr>
        <w:tabs>
          <w:tab w:val="left" w:pos="563"/>
          <w:tab w:val="left" w:pos="564"/>
        </w:tabs>
        <w:spacing w:before="151" w:line="278" w:lineRule="auto"/>
        <w:ind w:right="1819" w:hanging="453"/>
      </w:pPr>
      <w:r>
        <w:t>CSDH. Closing the gap in a generation: Health equity through action on the social determinants of health. Final report of the Commissi</w:t>
      </w:r>
      <w:r>
        <w:t>on on the Social Determinants of Health. Geneva: World Health Organisation;</w:t>
      </w:r>
      <w:r>
        <w:rPr>
          <w:spacing w:val="-5"/>
        </w:rPr>
        <w:t xml:space="preserve"> </w:t>
      </w:r>
      <w:r>
        <w:t>2008.</w:t>
      </w:r>
    </w:p>
    <w:p w:rsidR="005330BF" w:rsidRDefault="00136814">
      <w:pPr>
        <w:pStyle w:val="ListParagraph"/>
        <w:numPr>
          <w:ilvl w:val="0"/>
          <w:numId w:val="1"/>
        </w:numPr>
        <w:tabs>
          <w:tab w:val="left" w:pos="563"/>
          <w:tab w:val="left" w:pos="564"/>
        </w:tabs>
        <w:spacing w:before="146" w:line="276" w:lineRule="auto"/>
        <w:ind w:right="1696" w:hanging="453"/>
      </w:pPr>
      <w:r>
        <w:t>Beckfield J, Bambra C. Shorter lives in stingier states: Social policy shortcomings help explain the US mortality disadvantage. Soc Sci Med.</w:t>
      </w:r>
      <w:r>
        <w:rPr>
          <w:spacing w:val="-11"/>
        </w:rPr>
        <w:t xml:space="preserve"> </w:t>
      </w:r>
      <w:r>
        <w:t>2016;171:30-8.</w:t>
      </w:r>
    </w:p>
    <w:p w:rsidR="005330BF" w:rsidRDefault="00136814">
      <w:pPr>
        <w:pStyle w:val="ListParagraph"/>
        <w:numPr>
          <w:ilvl w:val="0"/>
          <w:numId w:val="1"/>
        </w:numPr>
        <w:tabs>
          <w:tab w:val="left" w:pos="563"/>
          <w:tab w:val="left" w:pos="564"/>
        </w:tabs>
        <w:spacing w:before="151" w:line="276" w:lineRule="auto"/>
        <w:ind w:right="1693" w:hanging="453"/>
      </w:pPr>
      <w:r>
        <w:t xml:space="preserve">Weich S, Lewis G. </w:t>
      </w:r>
      <w:r>
        <w:rPr>
          <w:spacing w:val="-3"/>
        </w:rPr>
        <w:t xml:space="preserve">Poverty, </w:t>
      </w:r>
      <w:r>
        <w:t xml:space="preserve">unemployment, and common mental disorders: population based cohort </w:t>
      </w:r>
      <w:r>
        <w:rPr>
          <w:spacing w:val="-3"/>
        </w:rPr>
        <w:t xml:space="preserve">study. </w:t>
      </w:r>
      <w:r>
        <w:t>BMJ.</w:t>
      </w:r>
      <w:r>
        <w:rPr>
          <w:spacing w:val="-1"/>
        </w:rPr>
        <w:t xml:space="preserve"> </w:t>
      </w:r>
      <w:r>
        <w:t>1998;317(7151):115-9.</w:t>
      </w:r>
    </w:p>
    <w:p w:rsidR="005330BF" w:rsidRDefault="00136814">
      <w:pPr>
        <w:pStyle w:val="ListParagraph"/>
        <w:numPr>
          <w:ilvl w:val="0"/>
          <w:numId w:val="1"/>
        </w:numPr>
        <w:tabs>
          <w:tab w:val="left" w:pos="563"/>
          <w:tab w:val="left" w:pos="564"/>
        </w:tabs>
        <w:spacing w:before="151" w:line="278" w:lineRule="auto"/>
        <w:ind w:right="1419" w:hanging="453"/>
      </w:pPr>
      <w:r>
        <w:t xml:space="preserve">Ioannou L, Cameron </w:t>
      </w:r>
      <w:r>
        <w:rPr>
          <w:spacing w:val="-6"/>
        </w:rPr>
        <w:t xml:space="preserve">PA, </w:t>
      </w:r>
      <w:r>
        <w:t xml:space="preserve">Gibson SJ, Ponsford J, Jennings </w:t>
      </w:r>
      <w:r>
        <w:rPr>
          <w:spacing w:val="-6"/>
        </w:rPr>
        <w:t xml:space="preserve">PA, </w:t>
      </w:r>
      <w:r>
        <w:t>Georgiou-Karistianis N, et al. Financial and recovery worry one year after traumatic in</w:t>
      </w:r>
      <w:r>
        <w:t xml:space="preserve">jury: A prognostic, registry- based cohort </w:t>
      </w:r>
      <w:r>
        <w:rPr>
          <w:spacing w:val="-3"/>
        </w:rPr>
        <w:t>study. Injury.</w:t>
      </w:r>
      <w:r>
        <w:t xml:space="preserve"> 2018;49(5):990-1000.</w:t>
      </w:r>
    </w:p>
    <w:p w:rsidR="005330BF" w:rsidRDefault="00136814">
      <w:pPr>
        <w:pStyle w:val="ListParagraph"/>
        <w:numPr>
          <w:ilvl w:val="0"/>
          <w:numId w:val="1"/>
        </w:numPr>
        <w:tabs>
          <w:tab w:val="left" w:pos="563"/>
          <w:tab w:val="left" w:pos="564"/>
        </w:tabs>
        <w:spacing w:before="146" w:line="276" w:lineRule="auto"/>
        <w:ind w:right="1666" w:hanging="453"/>
      </w:pPr>
      <w:r>
        <w:t xml:space="preserve">Sila U, Dugain </w:t>
      </w:r>
      <w:r>
        <w:rPr>
          <w:spacing w:val="-11"/>
        </w:rPr>
        <w:t xml:space="preserve">V. </w:t>
      </w:r>
      <w:r>
        <w:t xml:space="preserve">Income poverty of households in Australia: Evidence from the HILDA </w:t>
      </w:r>
      <w:r>
        <w:rPr>
          <w:spacing w:val="-3"/>
        </w:rPr>
        <w:t xml:space="preserve">survey. </w:t>
      </w:r>
      <w:r>
        <w:t>. 2019 14 February 2019. Contract No.:</w:t>
      </w:r>
      <w:r>
        <w:rPr>
          <w:spacing w:val="-8"/>
        </w:rPr>
        <w:t xml:space="preserve"> </w:t>
      </w:r>
      <w:r>
        <w:t>T03443162.</w:t>
      </w:r>
    </w:p>
    <w:p w:rsidR="005330BF" w:rsidRDefault="00136814">
      <w:pPr>
        <w:pStyle w:val="ListParagraph"/>
        <w:numPr>
          <w:ilvl w:val="0"/>
          <w:numId w:val="1"/>
        </w:numPr>
        <w:tabs>
          <w:tab w:val="left" w:pos="563"/>
          <w:tab w:val="left" w:pos="564"/>
        </w:tabs>
        <w:spacing w:before="151" w:line="276" w:lineRule="auto"/>
        <w:ind w:right="1463" w:hanging="453"/>
      </w:pPr>
      <w:r>
        <w:t xml:space="preserve">Herd </w:t>
      </w:r>
      <w:r>
        <w:rPr>
          <w:spacing w:val="-15"/>
        </w:rPr>
        <w:t xml:space="preserve">P, </w:t>
      </w:r>
      <w:r>
        <w:t>Moynihan D. Administrative Burden: Policymaking by Other Means. Washington, USA: Russell Sage Foundation; 2019. 360</w:t>
      </w:r>
      <w:r>
        <w:rPr>
          <w:spacing w:val="-6"/>
        </w:rPr>
        <w:t xml:space="preserve"> </w:t>
      </w:r>
      <w:r>
        <w:t>p.</w:t>
      </w:r>
    </w:p>
    <w:p w:rsidR="005330BF" w:rsidRDefault="00136814">
      <w:pPr>
        <w:pStyle w:val="ListParagraph"/>
        <w:numPr>
          <w:ilvl w:val="0"/>
          <w:numId w:val="1"/>
        </w:numPr>
        <w:tabs>
          <w:tab w:val="left" w:pos="563"/>
          <w:tab w:val="left" w:pos="564"/>
        </w:tabs>
        <w:spacing w:before="151" w:line="278" w:lineRule="auto"/>
        <w:ind w:right="1620" w:hanging="453"/>
      </w:pPr>
      <w:r>
        <w:t>Kilgour E, Kosny A, McKenzie D, Collie A. Interactions between injured workers and insurers in workers’ compensation systems: a systemati</w:t>
      </w:r>
      <w:r>
        <w:t>c review of qualitative</w:t>
      </w:r>
      <w:r>
        <w:rPr>
          <w:spacing w:val="-38"/>
        </w:rPr>
        <w:t xml:space="preserve"> </w:t>
      </w:r>
      <w:r>
        <w:t>research literature. J Occup Rehabil.</w:t>
      </w:r>
      <w:r>
        <w:rPr>
          <w:spacing w:val="-5"/>
        </w:rPr>
        <w:t xml:space="preserve"> </w:t>
      </w:r>
      <w:r>
        <w:t>2015;25(1):160-81.</w:t>
      </w:r>
    </w:p>
    <w:p w:rsidR="005330BF" w:rsidRDefault="00136814">
      <w:pPr>
        <w:pStyle w:val="ListParagraph"/>
        <w:numPr>
          <w:ilvl w:val="0"/>
          <w:numId w:val="1"/>
        </w:numPr>
        <w:tabs>
          <w:tab w:val="left" w:pos="563"/>
          <w:tab w:val="left" w:pos="564"/>
        </w:tabs>
        <w:spacing w:before="146" w:line="276" w:lineRule="auto"/>
        <w:ind w:right="1508" w:hanging="453"/>
      </w:pPr>
      <w:r>
        <w:t xml:space="preserve">Bartys S, Frederiksen </w:t>
      </w:r>
      <w:r>
        <w:rPr>
          <w:spacing w:val="-15"/>
        </w:rPr>
        <w:t xml:space="preserve">P, </w:t>
      </w:r>
      <w:r>
        <w:t xml:space="preserve">Bendix </w:t>
      </w:r>
      <w:r>
        <w:rPr>
          <w:spacing w:val="-13"/>
        </w:rPr>
        <w:t xml:space="preserve">T, </w:t>
      </w:r>
      <w:r>
        <w:t>Burton K. System influences on work disability due to low</w:t>
      </w:r>
      <w:r>
        <w:rPr>
          <w:spacing w:val="-5"/>
        </w:rPr>
        <w:t xml:space="preserve"> </w:t>
      </w:r>
      <w:r>
        <w:t>back</w:t>
      </w:r>
      <w:r>
        <w:rPr>
          <w:spacing w:val="-5"/>
        </w:rPr>
        <w:t xml:space="preserve"> </w:t>
      </w:r>
      <w:r>
        <w:t>pain:</w:t>
      </w:r>
      <w:r>
        <w:rPr>
          <w:spacing w:val="-15"/>
        </w:rPr>
        <w:t xml:space="preserve"> </w:t>
      </w:r>
      <w:r>
        <w:t>An</w:t>
      </w:r>
      <w:r>
        <w:rPr>
          <w:spacing w:val="-4"/>
        </w:rPr>
        <w:t xml:space="preserve"> </w:t>
      </w:r>
      <w:r>
        <w:t>international</w:t>
      </w:r>
      <w:r>
        <w:rPr>
          <w:spacing w:val="-5"/>
        </w:rPr>
        <w:t xml:space="preserve"> </w:t>
      </w:r>
      <w:r>
        <w:t>evidence</w:t>
      </w:r>
      <w:r>
        <w:rPr>
          <w:spacing w:val="-4"/>
        </w:rPr>
        <w:t xml:space="preserve"> </w:t>
      </w:r>
      <w:r>
        <w:t>synthesis.</w:t>
      </w:r>
      <w:r>
        <w:rPr>
          <w:spacing w:val="-4"/>
        </w:rPr>
        <w:t xml:space="preserve"> </w:t>
      </w:r>
      <w:r>
        <w:t>Health</w:t>
      </w:r>
      <w:r>
        <w:rPr>
          <w:spacing w:val="-5"/>
        </w:rPr>
        <w:t xml:space="preserve"> </w:t>
      </w:r>
      <w:r>
        <w:rPr>
          <w:spacing w:val="-3"/>
        </w:rPr>
        <w:t>Policy.</w:t>
      </w:r>
      <w:r>
        <w:rPr>
          <w:spacing w:val="-4"/>
        </w:rPr>
        <w:t xml:space="preserve"> </w:t>
      </w:r>
      <w:r>
        <w:t>2017;121(8):903-12.</w:t>
      </w:r>
    </w:p>
    <w:p w:rsidR="005330BF" w:rsidRDefault="00136814">
      <w:pPr>
        <w:pStyle w:val="ListParagraph"/>
        <w:numPr>
          <w:ilvl w:val="0"/>
          <w:numId w:val="1"/>
        </w:numPr>
        <w:tabs>
          <w:tab w:val="left" w:pos="563"/>
          <w:tab w:val="left" w:pos="564"/>
        </w:tabs>
        <w:spacing w:before="151" w:line="278" w:lineRule="auto"/>
        <w:ind w:right="1479" w:hanging="453"/>
      </w:pPr>
      <w:r>
        <w:t>Collie</w:t>
      </w:r>
      <w:r>
        <w:rPr>
          <w:spacing w:val="-14"/>
        </w:rPr>
        <w:t xml:space="preserve"> </w:t>
      </w:r>
      <w:r>
        <w:t>A,</w:t>
      </w:r>
      <w:r>
        <w:rPr>
          <w:spacing w:val="-3"/>
        </w:rPr>
        <w:t xml:space="preserve"> </w:t>
      </w:r>
      <w:r>
        <w:t>Sheehan</w:t>
      </w:r>
      <w:r>
        <w:rPr>
          <w:spacing w:val="-2"/>
        </w:rPr>
        <w:t xml:space="preserve"> </w:t>
      </w:r>
      <w:r>
        <w:t>L,</w:t>
      </w:r>
      <w:r>
        <w:rPr>
          <w:spacing w:val="-3"/>
        </w:rPr>
        <w:t xml:space="preserve"> </w:t>
      </w:r>
      <w:r>
        <w:t>Lane</w:t>
      </w:r>
      <w:r>
        <w:rPr>
          <w:spacing w:val="-6"/>
        </w:rPr>
        <w:t xml:space="preserve"> </w:t>
      </w:r>
      <w:r>
        <w:t>TJ,</w:t>
      </w:r>
      <w:r>
        <w:rPr>
          <w:spacing w:val="-3"/>
        </w:rPr>
        <w:t xml:space="preserve"> </w:t>
      </w:r>
      <w:r>
        <w:t>Gray</w:t>
      </w:r>
      <w:r>
        <w:rPr>
          <w:spacing w:val="-2"/>
        </w:rPr>
        <w:t xml:space="preserve"> </w:t>
      </w:r>
      <w:r>
        <w:t>S,</w:t>
      </w:r>
      <w:r>
        <w:rPr>
          <w:spacing w:val="-2"/>
        </w:rPr>
        <w:t xml:space="preserve"> </w:t>
      </w:r>
      <w:r>
        <w:t>Grant</w:t>
      </w:r>
      <w:r>
        <w:rPr>
          <w:spacing w:val="-2"/>
        </w:rPr>
        <w:t xml:space="preserve"> </w:t>
      </w:r>
      <w:r>
        <w:t>G.</w:t>
      </w:r>
      <w:r>
        <w:rPr>
          <w:spacing w:val="-4"/>
        </w:rPr>
        <w:t xml:space="preserve"> </w:t>
      </w:r>
      <w:r>
        <w:t>Injured</w:t>
      </w:r>
      <w:r>
        <w:rPr>
          <w:spacing w:val="-2"/>
        </w:rPr>
        <w:t xml:space="preserve"> </w:t>
      </w:r>
      <w:r>
        <w:t>worker</w:t>
      </w:r>
      <w:r>
        <w:rPr>
          <w:spacing w:val="-3"/>
        </w:rPr>
        <w:t xml:space="preserve"> </w:t>
      </w:r>
      <w:r>
        <w:t>experiences</w:t>
      </w:r>
      <w:r>
        <w:rPr>
          <w:spacing w:val="-4"/>
        </w:rPr>
        <w:t xml:space="preserve"> </w:t>
      </w:r>
      <w:r>
        <w:t>of</w:t>
      </w:r>
      <w:r>
        <w:rPr>
          <w:spacing w:val="-3"/>
        </w:rPr>
        <w:t xml:space="preserve"> </w:t>
      </w:r>
      <w:r>
        <w:t xml:space="preserve">insurance claim processes and return to work: a national, cross-sectional </w:t>
      </w:r>
      <w:r>
        <w:rPr>
          <w:spacing w:val="-3"/>
        </w:rPr>
        <w:t xml:space="preserve">study. </w:t>
      </w:r>
      <w:r>
        <w:t>BMC Public Health.</w:t>
      </w:r>
      <w:r>
        <w:rPr>
          <w:spacing w:val="-2"/>
        </w:rPr>
        <w:t xml:space="preserve"> </w:t>
      </w:r>
      <w:r>
        <w:t>2019;19(1):927.</w:t>
      </w:r>
    </w:p>
    <w:p w:rsidR="005330BF" w:rsidRDefault="005330BF">
      <w:pPr>
        <w:spacing w:line="278" w:lineRule="auto"/>
        <w:sectPr w:rsidR="005330BF">
          <w:pgSz w:w="11910" w:h="16840"/>
          <w:pgMar w:top="1160" w:right="540" w:bottom="560" w:left="740" w:header="0" w:footer="290" w:gutter="0"/>
          <w:cols w:space="720"/>
        </w:sectPr>
      </w:pPr>
    </w:p>
    <w:p w:rsidR="005330BF" w:rsidRDefault="00136814">
      <w:pPr>
        <w:pStyle w:val="Heading1"/>
      </w:pPr>
      <w:bookmarkStart w:id="99" w:name="Appendix"/>
      <w:bookmarkStart w:id="100" w:name="Table_10._Abbreviations_"/>
      <w:bookmarkStart w:id="101" w:name="_bookmark57"/>
      <w:bookmarkEnd w:id="99"/>
      <w:bookmarkEnd w:id="100"/>
      <w:bookmarkEnd w:id="101"/>
      <w:r>
        <w:rPr>
          <w:color w:val="58595B"/>
        </w:rPr>
        <w:t>Appendix</w:t>
      </w:r>
    </w:p>
    <w:p w:rsidR="005330BF" w:rsidRDefault="005330BF">
      <w:pPr>
        <w:pStyle w:val="BodyText"/>
        <w:spacing w:before="10"/>
        <w:ind w:left="0"/>
        <w:rPr>
          <w:rFonts w:ascii="Helvetica Neue"/>
          <w:b/>
          <w:sz w:val="23"/>
        </w:rPr>
      </w:pPr>
    </w:p>
    <w:tbl>
      <w:tblPr>
        <w:tblW w:w="0" w:type="auto"/>
        <w:tblInd w:w="117" w:type="dxa"/>
        <w:tblLayout w:type="fixed"/>
        <w:tblCellMar>
          <w:left w:w="0" w:type="dxa"/>
          <w:right w:w="0" w:type="dxa"/>
        </w:tblCellMar>
        <w:tblLook w:val="01E0" w:firstRow="1" w:lastRow="1" w:firstColumn="1" w:lastColumn="1" w:noHBand="0" w:noVBand="0"/>
      </w:tblPr>
      <w:tblGrid>
        <w:gridCol w:w="1643"/>
        <w:gridCol w:w="7258"/>
      </w:tblGrid>
      <w:tr w:rsidR="005330BF">
        <w:trPr>
          <w:trHeight w:val="465"/>
        </w:trPr>
        <w:tc>
          <w:tcPr>
            <w:tcW w:w="8901" w:type="dxa"/>
            <w:gridSpan w:val="2"/>
            <w:tcBorders>
              <w:top w:val="single" w:sz="4" w:space="0" w:color="000000"/>
              <w:bottom w:val="single" w:sz="4" w:space="0" w:color="000000"/>
            </w:tcBorders>
          </w:tcPr>
          <w:p w:rsidR="005330BF" w:rsidRDefault="00136814">
            <w:pPr>
              <w:pStyle w:val="TableParagraph"/>
              <w:spacing w:before="127"/>
              <w:rPr>
                <w:b/>
                <w:sz w:val="18"/>
              </w:rPr>
            </w:pPr>
            <w:r>
              <w:rPr>
                <w:b/>
                <w:color w:val="25408F"/>
                <w:sz w:val="18"/>
              </w:rPr>
              <w:t>TABLE 10. ABBREVIATIONS</w:t>
            </w:r>
          </w:p>
        </w:tc>
      </w:tr>
      <w:tr w:rsidR="005330BF">
        <w:trPr>
          <w:trHeight w:val="465"/>
        </w:trPr>
        <w:tc>
          <w:tcPr>
            <w:tcW w:w="1643" w:type="dxa"/>
            <w:tcBorders>
              <w:top w:val="single" w:sz="4" w:space="0" w:color="000000"/>
              <w:bottom w:val="single" w:sz="4" w:space="0" w:color="000000"/>
            </w:tcBorders>
          </w:tcPr>
          <w:p w:rsidR="005330BF" w:rsidRDefault="00136814">
            <w:pPr>
              <w:pStyle w:val="TableParagraph"/>
              <w:spacing w:before="127"/>
              <w:rPr>
                <w:b/>
                <w:sz w:val="18"/>
              </w:rPr>
            </w:pPr>
            <w:r>
              <w:rPr>
                <w:b/>
                <w:sz w:val="18"/>
              </w:rPr>
              <w:t>ABS</w:t>
            </w:r>
          </w:p>
        </w:tc>
        <w:tc>
          <w:tcPr>
            <w:tcW w:w="7258" w:type="dxa"/>
            <w:tcBorders>
              <w:top w:val="single" w:sz="4" w:space="0" w:color="000000"/>
              <w:bottom w:val="single" w:sz="4" w:space="0" w:color="000000"/>
            </w:tcBorders>
          </w:tcPr>
          <w:p w:rsidR="005330BF" w:rsidRDefault="00136814">
            <w:pPr>
              <w:pStyle w:val="TableParagraph"/>
              <w:ind w:left="903"/>
              <w:rPr>
                <w:sz w:val="18"/>
              </w:rPr>
            </w:pPr>
            <w:r>
              <w:rPr>
                <w:sz w:val="18"/>
              </w:rPr>
              <w:t>Australian Bureau of Statistics</w:t>
            </w:r>
          </w:p>
        </w:tc>
      </w:tr>
      <w:tr w:rsidR="005330BF">
        <w:trPr>
          <w:trHeight w:val="465"/>
        </w:trPr>
        <w:tc>
          <w:tcPr>
            <w:tcW w:w="1643" w:type="dxa"/>
            <w:tcBorders>
              <w:top w:val="single" w:sz="4" w:space="0" w:color="000000"/>
              <w:bottom w:val="single" w:sz="4" w:space="0" w:color="000000"/>
            </w:tcBorders>
          </w:tcPr>
          <w:p w:rsidR="005330BF" w:rsidRDefault="00136814">
            <w:pPr>
              <w:pStyle w:val="TableParagraph"/>
              <w:spacing w:before="127"/>
              <w:rPr>
                <w:b/>
                <w:sz w:val="18"/>
              </w:rPr>
            </w:pPr>
            <w:r>
              <w:rPr>
                <w:b/>
                <w:sz w:val="18"/>
              </w:rPr>
              <w:t>ATC</w:t>
            </w:r>
          </w:p>
        </w:tc>
        <w:tc>
          <w:tcPr>
            <w:tcW w:w="7258" w:type="dxa"/>
            <w:tcBorders>
              <w:top w:val="single" w:sz="4" w:space="0" w:color="000000"/>
              <w:bottom w:val="single" w:sz="4" w:space="0" w:color="000000"/>
            </w:tcBorders>
          </w:tcPr>
          <w:p w:rsidR="005330BF" w:rsidRDefault="00136814">
            <w:pPr>
              <w:pStyle w:val="TableParagraph"/>
              <w:ind w:left="903"/>
              <w:rPr>
                <w:sz w:val="18"/>
              </w:rPr>
            </w:pPr>
            <w:r>
              <w:rPr>
                <w:sz w:val="18"/>
              </w:rPr>
              <w:t>Anatomical Therapeutic Chemical Classification System</w:t>
            </w:r>
          </w:p>
        </w:tc>
      </w:tr>
      <w:tr w:rsidR="005330BF">
        <w:trPr>
          <w:trHeight w:val="465"/>
        </w:trPr>
        <w:tc>
          <w:tcPr>
            <w:tcW w:w="1643" w:type="dxa"/>
            <w:tcBorders>
              <w:top w:val="single" w:sz="4" w:space="0" w:color="000000"/>
              <w:bottom w:val="single" w:sz="4" w:space="0" w:color="000000"/>
            </w:tcBorders>
          </w:tcPr>
          <w:p w:rsidR="005330BF" w:rsidRDefault="00136814">
            <w:pPr>
              <w:pStyle w:val="TableParagraph"/>
              <w:spacing w:before="127"/>
              <w:rPr>
                <w:b/>
                <w:sz w:val="18"/>
              </w:rPr>
            </w:pPr>
            <w:r>
              <w:rPr>
                <w:b/>
                <w:sz w:val="18"/>
              </w:rPr>
              <w:t>DSP</w:t>
            </w:r>
          </w:p>
        </w:tc>
        <w:tc>
          <w:tcPr>
            <w:tcW w:w="7258" w:type="dxa"/>
            <w:tcBorders>
              <w:top w:val="single" w:sz="4" w:space="0" w:color="000000"/>
              <w:bottom w:val="single" w:sz="4" w:space="0" w:color="000000"/>
            </w:tcBorders>
          </w:tcPr>
          <w:p w:rsidR="005330BF" w:rsidRDefault="00136814">
            <w:pPr>
              <w:pStyle w:val="TableParagraph"/>
              <w:ind w:left="903"/>
              <w:rPr>
                <w:sz w:val="18"/>
              </w:rPr>
            </w:pPr>
            <w:r>
              <w:rPr>
                <w:sz w:val="18"/>
              </w:rPr>
              <w:t>Disability Support Pension</w:t>
            </w:r>
          </w:p>
        </w:tc>
      </w:tr>
      <w:tr w:rsidR="005330BF">
        <w:trPr>
          <w:trHeight w:val="745"/>
        </w:trPr>
        <w:tc>
          <w:tcPr>
            <w:tcW w:w="1643" w:type="dxa"/>
            <w:tcBorders>
              <w:top w:val="single" w:sz="4" w:space="0" w:color="000000"/>
              <w:bottom w:val="single" w:sz="4" w:space="0" w:color="000000"/>
            </w:tcBorders>
          </w:tcPr>
          <w:p w:rsidR="005330BF" w:rsidRDefault="00136814">
            <w:pPr>
              <w:pStyle w:val="TableParagraph"/>
              <w:spacing w:before="127"/>
              <w:rPr>
                <w:b/>
                <w:sz w:val="18"/>
              </w:rPr>
            </w:pPr>
            <w:r>
              <w:rPr>
                <w:b/>
                <w:sz w:val="18"/>
              </w:rPr>
              <w:t>ICD-10</w:t>
            </w:r>
          </w:p>
        </w:tc>
        <w:tc>
          <w:tcPr>
            <w:tcW w:w="7258" w:type="dxa"/>
            <w:tcBorders>
              <w:top w:val="single" w:sz="4" w:space="0" w:color="000000"/>
              <w:bottom w:val="single" w:sz="4" w:space="0" w:color="000000"/>
            </w:tcBorders>
          </w:tcPr>
          <w:p w:rsidR="005330BF" w:rsidRDefault="00136814">
            <w:pPr>
              <w:pStyle w:val="TableParagraph"/>
              <w:spacing w:line="316" w:lineRule="auto"/>
              <w:ind w:left="903" w:right="832"/>
              <w:rPr>
                <w:sz w:val="18"/>
              </w:rPr>
            </w:pPr>
            <w:r>
              <w:rPr>
                <w:sz w:val="18"/>
              </w:rPr>
              <w:t>International Statistical Classification of Diseases and Related Health Problems – Version 10</w:t>
            </w:r>
          </w:p>
        </w:tc>
      </w:tr>
      <w:tr w:rsidR="005330BF">
        <w:trPr>
          <w:trHeight w:val="465"/>
        </w:trPr>
        <w:tc>
          <w:tcPr>
            <w:tcW w:w="1643" w:type="dxa"/>
            <w:tcBorders>
              <w:top w:val="single" w:sz="4" w:space="0" w:color="000000"/>
              <w:bottom w:val="single" w:sz="4" w:space="0" w:color="000000"/>
            </w:tcBorders>
          </w:tcPr>
          <w:p w:rsidR="005330BF" w:rsidRDefault="00136814">
            <w:pPr>
              <w:pStyle w:val="TableParagraph"/>
              <w:spacing w:before="127"/>
              <w:rPr>
                <w:b/>
                <w:sz w:val="18"/>
              </w:rPr>
            </w:pPr>
            <w:r>
              <w:rPr>
                <w:b/>
                <w:sz w:val="18"/>
              </w:rPr>
              <w:t>NSA</w:t>
            </w:r>
          </w:p>
        </w:tc>
        <w:tc>
          <w:tcPr>
            <w:tcW w:w="7258" w:type="dxa"/>
            <w:tcBorders>
              <w:top w:val="single" w:sz="4" w:space="0" w:color="000000"/>
              <w:bottom w:val="single" w:sz="4" w:space="0" w:color="000000"/>
            </w:tcBorders>
          </w:tcPr>
          <w:p w:rsidR="005330BF" w:rsidRDefault="00136814">
            <w:pPr>
              <w:pStyle w:val="TableParagraph"/>
              <w:ind w:left="903"/>
              <w:rPr>
                <w:sz w:val="18"/>
              </w:rPr>
            </w:pPr>
            <w:r>
              <w:rPr>
                <w:sz w:val="18"/>
              </w:rPr>
              <w:t>Newstart Allowance</w:t>
            </w:r>
          </w:p>
        </w:tc>
      </w:tr>
      <w:tr w:rsidR="005330BF">
        <w:trPr>
          <w:trHeight w:val="465"/>
        </w:trPr>
        <w:tc>
          <w:tcPr>
            <w:tcW w:w="1643" w:type="dxa"/>
            <w:tcBorders>
              <w:top w:val="single" w:sz="4" w:space="0" w:color="000000"/>
              <w:bottom w:val="single" w:sz="4" w:space="0" w:color="000000"/>
            </w:tcBorders>
          </w:tcPr>
          <w:p w:rsidR="005330BF" w:rsidRDefault="00136814">
            <w:pPr>
              <w:pStyle w:val="TableParagraph"/>
              <w:spacing w:before="127"/>
              <w:rPr>
                <w:b/>
                <w:sz w:val="18"/>
              </w:rPr>
            </w:pPr>
            <w:r>
              <w:rPr>
                <w:b/>
                <w:sz w:val="18"/>
              </w:rPr>
              <w:t>NHS</w:t>
            </w:r>
          </w:p>
        </w:tc>
        <w:tc>
          <w:tcPr>
            <w:tcW w:w="7258" w:type="dxa"/>
            <w:tcBorders>
              <w:top w:val="single" w:sz="4" w:space="0" w:color="000000"/>
              <w:bottom w:val="single" w:sz="4" w:space="0" w:color="000000"/>
            </w:tcBorders>
          </w:tcPr>
          <w:p w:rsidR="005330BF" w:rsidRDefault="00136814">
            <w:pPr>
              <w:pStyle w:val="TableParagraph"/>
              <w:ind w:left="903"/>
              <w:rPr>
                <w:sz w:val="18"/>
              </w:rPr>
            </w:pPr>
            <w:r>
              <w:rPr>
                <w:sz w:val="18"/>
              </w:rPr>
              <w:t>National Health Survey</w:t>
            </w:r>
          </w:p>
        </w:tc>
      </w:tr>
    </w:tbl>
    <w:p w:rsidR="00000000" w:rsidRDefault="00136814"/>
    <w:sectPr w:rsidR="00000000">
      <w:pgSz w:w="11910" w:h="16840"/>
      <w:pgMar w:top="1060" w:right="540" w:bottom="560" w:left="740" w:header="0" w:footer="2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36814">
      <w:r>
        <w:separator/>
      </w:r>
    </w:p>
  </w:endnote>
  <w:endnote w:type="continuationSeparator" w:id="0">
    <w:p w:rsidR="00000000" w:rsidRDefault="0013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Neue">
    <w:altName w:val="Arial"/>
    <w:charset w:val="00"/>
    <w:family w:val="swiss"/>
    <w:pitch w:val="variable"/>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0BF" w:rsidRDefault="00136814">
    <w:pPr>
      <w:pStyle w:val="BodyText"/>
      <w:spacing w:line="14" w:lineRule="auto"/>
      <w:ind w:left="0"/>
      <w:rPr>
        <w:sz w:val="12"/>
      </w:rPr>
    </w:pPr>
    <w:r>
      <w:rPr>
        <w:noProof/>
      </w:rPr>
      <mc:AlternateContent>
        <mc:Choice Requires="wps">
          <w:drawing>
            <wp:anchor distT="0" distB="0" distL="114300" distR="114300" simplePos="0" relativeHeight="503237240" behindDoc="1" locked="0" layoutInCell="1" allowOverlap="1">
              <wp:simplePos x="0" y="0"/>
              <wp:positionH relativeFrom="page">
                <wp:posOffset>527050</wp:posOffset>
              </wp:positionH>
              <wp:positionV relativeFrom="page">
                <wp:posOffset>10317480</wp:posOffset>
              </wp:positionV>
              <wp:extent cx="4584065" cy="127000"/>
              <wp:effectExtent l="3175" t="1905" r="381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spacing w:line="180" w:lineRule="exact"/>
                            <w:ind w:left="20"/>
                            <w:rPr>
                              <w:b/>
                              <w:sz w:val="16"/>
                            </w:rPr>
                          </w:pPr>
                          <w:r>
                            <w:rPr>
                              <w:b/>
                              <w:color w:val="58595B"/>
                              <w:sz w:val="16"/>
                            </w:rPr>
                            <w:t>THE</w:t>
                          </w:r>
                          <w:r>
                            <w:rPr>
                              <w:b/>
                              <w:color w:val="58595B"/>
                              <w:spacing w:val="-3"/>
                              <w:sz w:val="16"/>
                            </w:rPr>
                            <w:t xml:space="preserve"> HEALTH </w:t>
                          </w:r>
                          <w:r>
                            <w:rPr>
                              <w:b/>
                              <w:color w:val="58595B"/>
                              <w:sz w:val="16"/>
                            </w:rPr>
                            <w:t xml:space="preserve">OF DISABILITY SUPPORT PENSION AND </w:t>
                          </w:r>
                          <w:r>
                            <w:rPr>
                              <w:b/>
                              <w:color w:val="58595B"/>
                              <w:spacing w:val="-3"/>
                              <w:sz w:val="16"/>
                            </w:rPr>
                            <w:t xml:space="preserve">NEWSTART </w:t>
                          </w:r>
                          <w:r>
                            <w:rPr>
                              <w:b/>
                              <w:color w:val="58595B"/>
                              <w:sz w:val="16"/>
                            </w:rPr>
                            <w:t>ALLOWANCE RECIPIENTS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41.5pt;margin-top:812.4pt;width:360.95pt;height:10pt;z-index:-7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" filled="f" stroked="f">
              <v:textbox inset="0,0,0,0">
                <w:txbxContent>
                  <w:p w:rsidR="005330BF" w:rsidRDefault="00136814">
                    <w:pPr>
                      <w:spacing w:line="180" w:lineRule="exact"/>
                      <w:ind w:left="20"/>
                      <w:rPr>
                        <w:b/>
                        <w:sz w:val="16"/>
                      </w:rPr>
                    </w:pPr>
                    <w:r>
                      <w:rPr>
                        <w:b/>
                        <w:color w:val="58595B"/>
                        <w:sz w:val="16"/>
                      </w:rPr>
                      <w:t>THE</w:t>
                    </w:r>
                    <w:r>
                      <w:rPr>
                        <w:b/>
                        <w:color w:val="58595B"/>
                        <w:spacing w:val="-3"/>
                        <w:sz w:val="16"/>
                      </w:rPr>
                      <w:t xml:space="preserve"> HEALTH </w:t>
                    </w:r>
                    <w:r>
                      <w:rPr>
                        <w:b/>
                        <w:color w:val="58595B"/>
                        <w:sz w:val="16"/>
                      </w:rPr>
                      <w:t xml:space="preserve">OF DISABILITY SUPPORT PENSION AND </w:t>
                    </w:r>
                    <w:r>
                      <w:rPr>
                        <w:b/>
                        <w:color w:val="58595B"/>
                        <w:spacing w:val="-3"/>
                        <w:sz w:val="16"/>
                      </w:rPr>
                      <w:t xml:space="preserve">NEWSTART </w:t>
                    </w:r>
                    <w:r>
                      <w:rPr>
                        <w:b/>
                        <w:color w:val="58595B"/>
                        <w:sz w:val="16"/>
                      </w:rPr>
                      <w:t>ALLOWANCE RECIPIENTS</w:t>
                    </w:r>
                  </w:p>
                </w:txbxContent>
              </v:textbox>
              <w10:wrap anchorx="page" anchory="page"/>
            </v:shape>
          </w:pict>
        </mc:Fallback>
      </mc:AlternateContent>
    </w:r>
    <w:r>
      <w:rPr>
        <w:noProof/>
      </w:rPr>
      <mc:AlternateContent>
        <mc:Choice Requires="wps">
          <w:drawing>
            <wp:anchor distT="0" distB="0" distL="114300" distR="114300" simplePos="0" relativeHeight="503237264" behindDoc="1" locked="0" layoutInCell="1" allowOverlap="1">
              <wp:simplePos x="0" y="0"/>
              <wp:positionH relativeFrom="page">
                <wp:posOffset>6881495</wp:posOffset>
              </wp:positionH>
              <wp:positionV relativeFrom="page">
                <wp:posOffset>10317480</wp:posOffset>
              </wp:positionV>
              <wp:extent cx="163830" cy="127000"/>
              <wp:effectExtent l="4445" t="1905" r="317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BF" w:rsidRDefault="00136814">
                          <w:pPr>
                            <w:spacing w:line="180" w:lineRule="exact"/>
                            <w:ind w:left="40"/>
                            <w:rPr>
                              <w:b/>
                              <w:sz w:val="16"/>
                            </w:rPr>
                          </w:pPr>
                          <w:r>
                            <w:fldChar w:fldCharType="begin"/>
                          </w:r>
                          <w:r>
                            <w:rPr>
                              <w:b/>
                              <w:color w:val="58595B"/>
                              <w:sz w:val="16"/>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541.85pt;margin-top:812.4pt;width:12.9pt;height:10pt;z-index:-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" filled="f" stroked="f">
              <v:textbox inset="0,0,0,0">
                <w:txbxContent>
                  <w:p w:rsidR="005330BF" w:rsidRDefault="00136814">
                    <w:pPr>
                      <w:spacing w:line="180" w:lineRule="exact"/>
                      <w:ind w:left="40"/>
                      <w:rPr>
                        <w:b/>
                        <w:sz w:val="16"/>
                      </w:rPr>
                    </w:pPr>
                    <w:r>
                      <w:fldChar w:fldCharType="begin"/>
                    </w:r>
                    <w:r>
                      <w:rPr>
                        <w:b/>
                        <w:color w:val="58595B"/>
                        <w:sz w:val="16"/>
                      </w:rPr>
                      <w:instrText xml:space="preserve"> PAGE </w:instrText>
                    </w:r>
                    <w:r>
                      <w:fldChar w:fldCharType="separate"/>
                    </w:r>
                    <w: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36814">
      <w:r>
        <w:separator/>
      </w:r>
    </w:p>
  </w:footnote>
  <w:footnote w:type="continuationSeparator" w:id="0">
    <w:p w:rsidR="00000000" w:rsidRDefault="00136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65492"/>
    <w:multiLevelType w:val="hybridMultilevel"/>
    <w:tmpl w:val="5FE6650C"/>
    <w:lvl w:ilvl="0" w:tplc="F00813CE">
      <w:numFmt w:val="bullet"/>
      <w:lvlText w:val="•"/>
      <w:lvlJc w:val="left"/>
      <w:pPr>
        <w:ind w:left="1773" w:hanging="360"/>
      </w:pPr>
      <w:rPr>
        <w:rFonts w:ascii="Helvetica" w:eastAsia="Helvetica" w:hAnsi="Helvetica" w:cs="Helvetica" w:hint="default"/>
        <w:spacing w:val="-1"/>
        <w:w w:val="100"/>
        <w:sz w:val="22"/>
        <w:szCs w:val="22"/>
        <w:lang w:val="en-US" w:eastAsia="en-US" w:bidi="en-US"/>
      </w:rPr>
    </w:lvl>
    <w:lvl w:ilvl="1" w:tplc="0BF4FA30">
      <w:numFmt w:val="bullet"/>
      <w:lvlText w:val="•"/>
      <w:lvlJc w:val="left"/>
      <w:pPr>
        <w:ind w:left="2664" w:hanging="360"/>
      </w:pPr>
      <w:rPr>
        <w:rFonts w:hint="default"/>
        <w:lang w:val="en-US" w:eastAsia="en-US" w:bidi="en-US"/>
      </w:rPr>
    </w:lvl>
    <w:lvl w:ilvl="2" w:tplc="B78C0F6E">
      <w:numFmt w:val="bullet"/>
      <w:lvlText w:val="•"/>
      <w:lvlJc w:val="left"/>
      <w:pPr>
        <w:ind w:left="3549" w:hanging="360"/>
      </w:pPr>
      <w:rPr>
        <w:rFonts w:hint="default"/>
        <w:lang w:val="en-US" w:eastAsia="en-US" w:bidi="en-US"/>
      </w:rPr>
    </w:lvl>
    <w:lvl w:ilvl="3" w:tplc="7562C180">
      <w:numFmt w:val="bullet"/>
      <w:lvlText w:val="•"/>
      <w:lvlJc w:val="left"/>
      <w:pPr>
        <w:ind w:left="4433" w:hanging="360"/>
      </w:pPr>
      <w:rPr>
        <w:rFonts w:hint="default"/>
        <w:lang w:val="en-US" w:eastAsia="en-US" w:bidi="en-US"/>
      </w:rPr>
    </w:lvl>
    <w:lvl w:ilvl="4" w:tplc="CD5A702A">
      <w:numFmt w:val="bullet"/>
      <w:lvlText w:val="•"/>
      <w:lvlJc w:val="left"/>
      <w:pPr>
        <w:ind w:left="5318" w:hanging="360"/>
      </w:pPr>
      <w:rPr>
        <w:rFonts w:hint="default"/>
        <w:lang w:val="en-US" w:eastAsia="en-US" w:bidi="en-US"/>
      </w:rPr>
    </w:lvl>
    <w:lvl w:ilvl="5" w:tplc="7A2EBC90">
      <w:numFmt w:val="bullet"/>
      <w:lvlText w:val="•"/>
      <w:lvlJc w:val="left"/>
      <w:pPr>
        <w:ind w:left="6202" w:hanging="360"/>
      </w:pPr>
      <w:rPr>
        <w:rFonts w:hint="default"/>
        <w:lang w:val="en-US" w:eastAsia="en-US" w:bidi="en-US"/>
      </w:rPr>
    </w:lvl>
    <w:lvl w:ilvl="6" w:tplc="982C3E5E">
      <w:numFmt w:val="bullet"/>
      <w:lvlText w:val="•"/>
      <w:lvlJc w:val="left"/>
      <w:pPr>
        <w:ind w:left="7087" w:hanging="360"/>
      </w:pPr>
      <w:rPr>
        <w:rFonts w:hint="default"/>
        <w:lang w:val="en-US" w:eastAsia="en-US" w:bidi="en-US"/>
      </w:rPr>
    </w:lvl>
    <w:lvl w:ilvl="7" w:tplc="187CB9D0">
      <w:numFmt w:val="bullet"/>
      <w:lvlText w:val="•"/>
      <w:lvlJc w:val="left"/>
      <w:pPr>
        <w:ind w:left="7971" w:hanging="360"/>
      </w:pPr>
      <w:rPr>
        <w:rFonts w:hint="default"/>
        <w:lang w:val="en-US" w:eastAsia="en-US" w:bidi="en-US"/>
      </w:rPr>
    </w:lvl>
    <w:lvl w:ilvl="8" w:tplc="E7FEA3FC">
      <w:numFmt w:val="bullet"/>
      <w:lvlText w:val="•"/>
      <w:lvlJc w:val="left"/>
      <w:pPr>
        <w:ind w:left="8856" w:hanging="360"/>
      </w:pPr>
      <w:rPr>
        <w:rFonts w:hint="default"/>
        <w:lang w:val="en-US" w:eastAsia="en-US" w:bidi="en-US"/>
      </w:rPr>
    </w:lvl>
  </w:abstractNum>
  <w:abstractNum w:abstractNumId="1" w15:restartNumberingAfterBreak="0">
    <w:nsid w:val="2CF7445D"/>
    <w:multiLevelType w:val="hybridMultilevel"/>
    <w:tmpl w:val="EA6CB984"/>
    <w:lvl w:ilvl="0" w:tplc="8BFEFE52">
      <w:numFmt w:val="bullet"/>
      <w:lvlText w:val="•"/>
      <w:lvlJc w:val="left"/>
      <w:pPr>
        <w:ind w:left="470" w:hanging="360"/>
      </w:pPr>
      <w:rPr>
        <w:rFonts w:ascii="Helvetica" w:eastAsia="Helvetica" w:hAnsi="Helvetica" w:cs="Helvetica" w:hint="default"/>
        <w:spacing w:val="-1"/>
        <w:w w:val="100"/>
        <w:sz w:val="22"/>
        <w:szCs w:val="22"/>
        <w:lang w:val="en-US" w:eastAsia="en-US" w:bidi="en-US"/>
      </w:rPr>
    </w:lvl>
    <w:lvl w:ilvl="1" w:tplc="40B83E40">
      <w:numFmt w:val="bullet"/>
      <w:lvlText w:val="•"/>
      <w:lvlJc w:val="left"/>
      <w:pPr>
        <w:ind w:left="1773" w:hanging="360"/>
      </w:pPr>
      <w:rPr>
        <w:rFonts w:ascii="Helvetica" w:eastAsia="Helvetica" w:hAnsi="Helvetica" w:cs="Helvetica" w:hint="default"/>
        <w:spacing w:val="-1"/>
        <w:w w:val="100"/>
        <w:sz w:val="22"/>
        <w:szCs w:val="22"/>
        <w:lang w:val="en-US" w:eastAsia="en-US" w:bidi="en-US"/>
      </w:rPr>
    </w:lvl>
    <w:lvl w:ilvl="2" w:tplc="A5183756">
      <w:numFmt w:val="bullet"/>
      <w:lvlText w:val="•"/>
      <w:lvlJc w:val="left"/>
      <w:pPr>
        <w:ind w:left="1580" w:hanging="360"/>
      </w:pPr>
      <w:rPr>
        <w:rFonts w:hint="default"/>
        <w:lang w:val="en-US" w:eastAsia="en-US" w:bidi="en-US"/>
      </w:rPr>
    </w:lvl>
    <w:lvl w:ilvl="3" w:tplc="4AD43256">
      <w:numFmt w:val="bullet"/>
      <w:lvlText w:val="•"/>
      <w:lvlJc w:val="left"/>
      <w:pPr>
        <w:ind w:left="1380" w:hanging="360"/>
      </w:pPr>
      <w:rPr>
        <w:rFonts w:hint="default"/>
        <w:lang w:val="en-US" w:eastAsia="en-US" w:bidi="en-US"/>
      </w:rPr>
    </w:lvl>
    <w:lvl w:ilvl="4" w:tplc="54F23C26">
      <w:numFmt w:val="bullet"/>
      <w:lvlText w:val="•"/>
      <w:lvlJc w:val="left"/>
      <w:pPr>
        <w:ind w:left="1181" w:hanging="360"/>
      </w:pPr>
      <w:rPr>
        <w:rFonts w:hint="default"/>
        <w:lang w:val="en-US" w:eastAsia="en-US" w:bidi="en-US"/>
      </w:rPr>
    </w:lvl>
    <w:lvl w:ilvl="5" w:tplc="FAAE9C30">
      <w:numFmt w:val="bullet"/>
      <w:lvlText w:val="•"/>
      <w:lvlJc w:val="left"/>
      <w:pPr>
        <w:ind w:left="981" w:hanging="360"/>
      </w:pPr>
      <w:rPr>
        <w:rFonts w:hint="default"/>
        <w:lang w:val="en-US" w:eastAsia="en-US" w:bidi="en-US"/>
      </w:rPr>
    </w:lvl>
    <w:lvl w:ilvl="6" w:tplc="63DEC154">
      <w:numFmt w:val="bullet"/>
      <w:lvlText w:val="•"/>
      <w:lvlJc w:val="left"/>
      <w:pPr>
        <w:ind w:left="781" w:hanging="360"/>
      </w:pPr>
      <w:rPr>
        <w:rFonts w:hint="default"/>
        <w:lang w:val="en-US" w:eastAsia="en-US" w:bidi="en-US"/>
      </w:rPr>
    </w:lvl>
    <w:lvl w:ilvl="7" w:tplc="2DCE91A8">
      <w:numFmt w:val="bullet"/>
      <w:lvlText w:val="•"/>
      <w:lvlJc w:val="left"/>
      <w:pPr>
        <w:ind w:left="582" w:hanging="360"/>
      </w:pPr>
      <w:rPr>
        <w:rFonts w:hint="default"/>
        <w:lang w:val="en-US" w:eastAsia="en-US" w:bidi="en-US"/>
      </w:rPr>
    </w:lvl>
    <w:lvl w:ilvl="8" w:tplc="4F3405F6">
      <w:numFmt w:val="bullet"/>
      <w:lvlText w:val="•"/>
      <w:lvlJc w:val="left"/>
      <w:pPr>
        <w:ind w:left="382" w:hanging="360"/>
      </w:pPr>
      <w:rPr>
        <w:rFonts w:hint="default"/>
        <w:lang w:val="en-US" w:eastAsia="en-US" w:bidi="en-US"/>
      </w:rPr>
    </w:lvl>
  </w:abstractNum>
  <w:abstractNum w:abstractNumId="2" w15:restartNumberingAfterBreak="0">
    <w:nsid w:val="53B74EBE"/>
    <w:multiLevelType w:val="hybridMultilevel"/>
    <w:tmpl w:val="17B869C8"/>
    <w:lvl w:ilvl="0" w:tplc="BFCA5BF2">
      <w:start w:val="1"/>
      <w:numFmt w:val="decimal"/>
      <w:lvlText w:val="%1."/>
      <w:lvlJc w:val="left"/>
      <w:pPr>
        <w:ind w:left="1773" w:hanging="360"/>
        <w:jc w:val="left"/>
      </w:pPr>
      <w:rPr>
        <w:rFonts w:ascii="Helvetica" w:eastAsia="Helvetica" w:hAnsi="Helvetica" w:cs="Helvetica" w:hint="default"/>
        <w:b/>
        <w:bCs/>
        <w:spacing w:val="-12"/>
        <w:w w:val="100"/>
        <w:sz w:val="22"/>
        <w:szCs w:val="22"/>
        <w:lang w:val="en-US" w:eastAsia="en-US" w:bidi="en-US"/>
      </w:rPr>
    </w:lvl>
    <w:lvl w:ilvl="1" w:tplc="D3FCF0A0">
      <w:numFmt w:val="bullet"/>
      <w:lvlText w:val="•"/>
      <w:lvlJc w:val="left"/>
      <w:pPr>
        <w:ind w:left="2664" w:hanging="360"/>
      </w:pPr>
      <w:rPr>
        <w:rFonts w:hint="default"/>
        <w:lang w:val="en-US" w:eastAsia="en-US" w:bidi="en-US"/>
      </w:rPr>
    </w:lvl>
    <w:lvl w:ilvl="2" w:tplc="B96AAB00">
      <w:numFmt w:val="bullet"/>
      <w:lvlText w:val="•"/>
      <w:lvlJc w:val="left"/>
      <w:pPr>
        <w:ind w:left="3549" w:hanging="360"/>
      </w:pPr>
      <w:rPr>
        <w:rFonts w:hint="default"/>
        <w:lang w:val="en-US" w:eastAsia="en-US" w:bidi="en-US"/>
      </w:rPr>
    </w:lvl>
    <w:lvl w:ilvl="3" w:tplc="B8CE3F2C">
      <w:numFmt w:val="bullet"/>
      <w:lvlText w:val="•"/>
      <w:lvlJc w:val="left"/>
      <w:pPr>
        <w:ind w:left="4433" w:hanging="360"/>
      </w:pPr>
      <w:rPr>
        <w:rFonts w:hint="default"/>
        <w:lang w:val="en-US" w:eastAsia="en-US" w:bidi="en-US"/>
      </w:rPr>
    </w:lvl>
    <w:lvl w:ilvl="4" w:tplc="D6586CCA">
      <w:numFmt w:val="bullet"/>
      <w:lvlText w:val="•"/>
      <w:lvlJc w:val="left"/>
      <w:pPr>
        <w:ind w:left="5318" w:hanging="360"/>
      </w:pPr>
      <w:rPr>
        <w:rFonts w:hint="default"/>
        <w:lang w:val="en-US" w:eastAsia="en-US" w:bidi="en-US"/>
      </w:rPr>
    </w:lvl>
    <w:lvl w:ilvl="5" w:tplc="1D8A93D0">
      <w:numFmt w:val="bullet"/>
      <w:lvlText w:val="•"/>
      <w:lvlJc w:val="left"/>
      <w:pPr>
        <w:ind w:left="6202" w:hanging="360"/>
      </w:pPr>
      <w:rPr>
        <w:rFonts w:hint="default"/>
        <w:lang w:val="en-US" w:eastAsia="en-US" w:bidi="en-US"/>
      </w:rPr>
    </w:lvl>
    <w:lvl w:ilvl="6" w:tplc="2DCAE782">
      <w:numFmt w:val="bullet"/>
      <w:lvlText w:val="•"/>
      <w:lvlJc w:val="left"/>
      <w:pPr>
        <w:ind w:left="7087" w:hanging="360"/>
      </w:pPr>
      <w:rPr>
        <w:rFonts w:hint="default"/>
        <w:lang w:val="en-US" w:eastAsia="en-US" w:bidi="en-US"/>
      </w:rPr>
    </w:lvl>
    <w:lvl w:ilvl="7" w:tplc="2E32C316">
      <w:numFmt w:val="bullet"/>
      <w:lvlText w:val="•"/>
      <w:lvlJc w:val="left"/>
      <w:pPr>
        <w:ind w:left="7971" w:hanging="360"/>
      </w:pPr>
      <w:rPr>
        <w:rFonts w:hint="default"/>
        <w:lang w:val="en-US" w:eastAsia="en-US" w:bidi="en-US"/>
      </w:rPr>
    </w:lvl>
    <w:lvl w:ilvl="8" w:tplc="BD5263C2">
      <w:numFmt w:val="bullet"/>
      <w:lvlText w:val="•"/>
      <w:lvlJc w:val="left"/>
      <w:pPr>
        <w:ind w:left="8856" w:hanging="360"/>
      </w:pPr>
      <w:rPr>
        <w:rFonts w:hint="default"/>
        <w:lang w:val="en-US" w:eastAsia="en-US" w:bidi="en-US"/>
      </w:rPr>
    </w:lvl>
  </w:abstractNum>
  <w:abstractNum w:abstractNumId="3" w15:restartNumberingAfterBreak="0">
    <w:nsid w:val="5FC54D0C"/>
    <w:multiLevelType w:val="hybridMultilevel"/>
    <w:tmpl w:val="23F86214"/>
    <w:lvl w:ilvl="0" w:tplc="F1A2776A">
      <w:start w:val="1"/>
      <w:numFmt w:val="decimal"/>
      <w:lvlText w:val="%1"/>
      <w:lvlJc w:val="left"/>
      <w:pPr>
        <w:ind w:left="563" w:hanging="454"/>
        <w:jc w:val="left"/>
      </w:pPr>
      <w:rPr>
        <w:rFonts w:ascii="Helvetica" w:eastAsia="Helvetica" w:hAnsi="Helvetica" w:cs="Helvetica" w:hint="default"/>
        <w:b/>
        <w:bCs/>
        <w:w w:val="100"/>
        <w:sz w:val="22"/>
        <w:szCs w:val="22"/>
        <w:lang w:val="en-US" w:eastAsia="en-US" w:bidi="en-US"/>
      </w:rPr>
    </w:lvl>
    <w:lvl w:ilvl="1" w:tplc="91BEBF78">
      <w:numFmt w:val="bullet"/>
      <w:lvlText w:val="•"/>
      <w:lvlJc w:val="left"/>
      <w:pPr>
        <w:ind w:left="1566" w:hanging="454"/>
      </w:pPr>
      <w:rPr>
        <w:rFonts w:hint="default"/>
        <w:lang w:val="en-US" w:eastAsia="en-US" w:bidi="en-US"/>
      </w:rPr>
    </w:lvl>
    <w:lvl w:ilvl="2" w:tplc="E4449632">
      <w:numFmt w:val="bullet"/>
      <w:lvlText w:val="•"/>
      <w:lvlJc w:val="left"/>
      <w:pPr>
        <w:ind w:left="2573" w:hanging="454"/>
      </w:pPr>
      <w:rPr>
        <w:rFonts w:hint="default"/>
        <w:lang w:val="en-US" w:eastAsia="en-US" w:bidi="en-US"/>
      </w:rPr>
    </w:lvl>
    <w:lvl w:ilvl="3" w:tplc="A8C2A730">
      <w:numFmt w:val="bullet"/>
      <w:lvlText w:val="•"/>
      <w:lvlJc w:val="left"/>
      <w:pPr>
        <w:ind w:left="3579" w:hanging="454"/>
      </w:pPr>
      <w:rPr>
        <w:rFonts w:hint="default"/>
        <w:lang w:val="en-US" w:eastAsia="en-US" w:bidi="en-US"/>
      </w:rPr>
    </w:lvl>
    <w:lvl w:ilvl="4" w:tplc="851C1B32">
      <w:numFmt w:val="bullet"/>
      <w:lvlText w:val="•"/>
      <w:lvlJc w:val="left"/>
      <w:pPr>
        <w:ind w:left="4586" w:hanging="454"/>
      </w:pPr>
      <w:rPr>
        <w:rFonts w:hint="default"/>
        <w:lang w:val="en-US" w:eastAsia="en-US" w:bidi="en-US"/>
      </w:rPr>
    </w:lvl>
    <w:lvl w:ilvl="5" w:tplc="A4EA5648">
      <w:numFmt w:val="bullet"/>
      <w:lvlText w:val="•"/>
      <w:lvlJc w:val="left"/>
      <w:pPr>
        <w:ind w:left="5592" w:hanging="454"/>
      </w:pPr>
      <w:rPr>
        <w:rFonts w:hint="default"/>
        <w:lang w:val="en-US" w:eastAsia="en-US" w:bidi="en-US"/>
      </w:rPr>
    </w:lvl>
    <w:lvl w:ilvl="6" w:tplc="63180856">
      <w:numFmt w:val="bullet"/>
      <w:lvlText w:val="•"/>
      <w:lvlJc w:val="left"/>
      <w:pPr>
        <w:ind w:left="6599" w:hanging="454"/>
      </w:pPr>
      <w:rPr>
        <w:rFonts w:hint="default"/>
        <w:lang w:val="en-US" w:eastAsia="en-US" w:bidi="en-US"/>
      </w:rPr>
    </w:lvl>
    <w:lvl w:ilvl="7" w:tplc="1840C66E">
      <w:numFmt w:val="bullet"/>
      <w:lvlText w:val="•"/>
      <w:lvlJc w:val="left"/>
      <w:pPr>
        <w:ind w:left="7605" w:hanging="454"/>
      </w:pPr>
      <w:rPr>
        <w:rFonts w:hint="default"/>
        <w:lang w:val="en-US" w:eastAsia="en-US" w:bidi="en-US"/>
      </w:rPr>
    </w:lvl>
    <w:lvl w:ilvl="8" w:tplc="157A7066">
      <w:numFmt w:val="bullet"/>
      <w:lvlText w:val="•"/>
      <w:lvlJc w:val="left"/>
      <w:pPr>
        <w:ind w:left="8612" w:hanging="454"/>
      </w:pPr>
      <w:rPr>
        <w:rFonts w:hint="default"/>
        <w:lang w:val="en-US" w:eastAsia="en-US" w:bidi="en-US"/>
      </w:rPr>
    </w:lvl>
  </w:abstractNum>
  <w:abstractNum w:abstractNumId="4" w15:restartNumberingAfterBreak="0">
    <w:nsid w:val="747C03CE"/>
    <w:multiLevelType w:val="hybridMultilevel"/>
    <w:tmpl w:val="3844D14E"/>
    <w:lvl w:ilvl="0" w:tplc="37A2CA92">
      <w:start w:val="1"/>
      <w:numFmt w:val="decimal"/>
      <w:lvlText w:val="%1."/>
      <w:lvlJc w:val="left"/>
      <w:pPr>
        <w:ind w:left="1773" w:hanging="360"/>
        <w:jc w:val="right"/>
      </w:pPr>
      <w:rPr>
        <w:rFonts w:ascii="Helvetica" w:eastAsia="Helvetica" w:hAnsi="Helvetica" w:cs="Helvetica" w:hint="default"/>
        <w:b/>
        <w:bCs/>
        <w:spacing w:val="-7"/>
        <w:w w:val="100"/>
        <w:sz w:val="22"/>
        <w:szCs w:val="22"/>
        <w:lang w:val="en-US" w:eastAsia="en-US" w:bidi="en-US"/>
      </w:rPr>
    </w:lvl>
    <w:lvl w:ilvl="1" w:tplc="BB72A1C0">
      <w:numFmt w:val="bullet"/>
      <w:lvlText w:val="•"/>
      <w:lvlJc w:val="left"/>
      <w:pPr>
        <w:ind w:left="1996" w:hanging="360"/>
      </w:pPr>
      <w:rPr>
        <w:rFonts w:hint="default"/>
        <w:lang w:val="en-US" w:eastAsia="en-US" w:bidi="en-US"/>
      </w:rPr>
    </w:lvl>
    <w:lvl w:ilvl="2" w:tplc="ED52EAA4">
      <w:numFmt w:val="bullet"/>
      <w:lvlText w:val="•"/>
      <w:lvlJc w:val="left"/>
      <w:pPr>
        <w:ind w:left="2212" w:hanging="360"/>
      </w:pPr>
      <w:rPr>
        <w:rFonts w:hint="default"/>
        <w:lang w:val="en-US" w:eastAsia="en-US" w:bidi="en-US"/>
      </w:rPr>
    </w:lvl>
    <w:lvl w:ilvl="3" w:tplc="22CC6C22">
      <w:numFmt w:val="bullet"/>
      <w:lvlText w:val="•"/>
      <w:lvlJc w:val="left"/>
      <w:pPr>
        <w:ind w:left="2428" w:hanging="360"/>
      </w:pPr>
      <w:rPr>
        <w:rFonts w:hint="default"/>
        <w:lang w:val="en-US" w:eastAsia="en-US" w:bidi="en-US"/>
      </w:rPr>
    </w:lvl>
    <w:lvl w:ilvl="4" w:tplc="F40AC2D2">
      <w:numFmt w:val="bullet"/>
      <w:lvlText w:val="•"/>
      <w:lvlJc w:val="left"/>
      <w:pPr>
        <w:ind w:left="2644" w:hanging="360"/>
      </w:pPr>
      <w:rPr>
        <w:rFonts w:hint="default"/>
        <w:lang w:val="en-US" w:eastAsia="en-US" w:bidi="en-US"/>
      </w:rPr>
    </w:lvl>
    <w:lvl w:ilvl="5" w:tplc="9F14380E">
      <w:numFmt w:val="bullet"/>
      <w:lvlText w:val="•"/>
      <w:lvlJc w:val="left"/>
      <w:pPr>
        <w:ind w:left="2861" w:hanging="360"/>
      </w:pPr>
      <w:rPr>
        <w:rFonts w:hint="default"/>
        <w:lang w:val="en-US" w:eastAsia="en-US" w:bidi="en-US"/>
      </w:rPr>
    </w:lvl>
    <w:lvl w:ilvl="6" w:tplc="D5EC7150">
      <w:numFmt w:val="bullet"/>
      <w:lvlText w:val="•"/>
      <w:lvlJc w:val="left"/>
      <w:pPr>
        <w:ind w:left="3077" w:hanging="360"/>
      </w:pPr>
      <w:rPr>
        <w:rFonts w:hint="default"/>
        <w:lang w:val="en-US" w:eastAsia="en-US" w:bidi="en-US"/>
      </w:rPr>
    </w:lvl>
    <w:lvl w:ilvl="7" w:tplc="AC3AB1BC">
      <w:numFmt w:val="bullet"/>
      <w:lvlText w:val="•"/>
      <w:lvlJc w:val="left"/>
      <w:pPr>
        <w:ind w:left="3293" w:hanging="360"/>
      </w:pPr>
      <w:rPr>
        <w:rFonts w:hint="default"/>
        <w:lang w:val="en-US" w:eastAsia="en-US" w:bidi="en-US"/>
      </w:rPr>
    </w:lvl>
    <w:lvl w:ilvl="8" w:tplc="F2C62170">
      <w:numFmt w:val="bullet"/>
      <w:lvlText w:val="•"/>
      <w:lvlJc w:val="left"/>
      <w:pPr>
        <w:ind w:left="3509" w:hanging="360"/>
      </w:pPr>
      <w:rPr>
        <w:rFonts w:hint="default"/>
        <w:lang w:val="en-US" w:eastAsia="en-US" w:bidi="en-US"/>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0BF"/>
    <w:rsid w:val="00136814"/>
    <w:rsid w:val="00533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EB4B247-E2FC-4C11-953E-D69AABBB1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Helvetica" w:hAnsi="Helvetica" w:cs="Helvetica"/>
      <w:lang w:bidi="en-US"/>
    </w:rPr>
  </w:style>
  <w:style w:type="paragraph" w:styleId="Heading1">
    <w:name w:val="heading 1"/>
    <w:basedOn w:val="Normal"/>
    <w:uiPriority w:val="9"/>
    <w:qFormat/>
    <w:pPr>
      <w:spacing w:before="53"/>
      <w:ind w:left="110"/>
      <w:outlineLvl w:val="0"/>
    </w:pPr>
    <w:rPr>
      <w:rFonts w:ascii="Helvetica Neue" w:eastAsia="Helvetica Neue" w:hAnsi="Helvetica Neue" w:cs="Helvetica Neue"/>
      <w:b/>
      <w:bCs/>
      <w:sz w:val="60"/>
      <w:szCs w:val="60"/>
    </w:rPr>
  </w:style>
  <w:style w:type="paragraph" w:styleId="Heading2">
    <w:name w:val="heading 2"/>
    <w:basedOn w:val="Normal"/>
    <w:uiPriority w:val="9"/>
    <w:unhideWhenUsed/>
    <w:qFormat/>
    <w:pPr>
      <w:spacing w:before="25"/>
      <w:ind w:left="1413"/>
      <w:outlineLvl w:val="1"/>
    </w:pPr>
    <w:rPr>
      <w:b/>
      <w:bCs/>
      <w:sz w:val="24"/>
      <w:szCs w:val="24"/>
    </w:rPr>
  </w:style>
  <w:style w:type="paragraph" w:styleId="Heading3">
    <w:name w:val="heading 3"/>
    <w:basedOn w:val="Normal"/>
    <w:uiPriority w:val="9"/>
    <w:unhideWhenUsed/>
    <w:qFormat/>
    <w:pPr>
      <w:spacing w:before="148"/>
      <w:ind w:left="141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8"/>
      <w:ind w:left="110"/>
    </w:pPr>
  </w:style>
  <w:style w:type="paragraph" w:styleId="TOC2">
    <w:name w:val="toc 2"/>
    <w:basedOn w:val="Normal"/>
    <w:uiPriority w:val="1"/>
    <w:qFormat/>
    <w:pPr>
      <w:spacing w:before="188"/>
      <w:ind w:left="550"/>
    </w:pPr>
    <w:rPr>
      <w:i/>
    </w:rPr>
  </w:style>
  <w:style w:type="paragraph" w:styleId="BodyText">
    <w:name w:val="Body Text"/>
    <w:basedOn w:val="Normal"/>
    <w:uiPriority w:val="1"/>
    <w:qFormat/>
    <w:pPr>
      <w:ind w:left="1413"/>
    </w:pPr>
  </w:style>
  <w:style w:type="paragraph" w:styleId="ListParagraph">
    <w:name w:val="List Paragraph"/>
    <w:basedOn w:val="Normal"/>
    <w:uiPriority w:val="1"/>
    <w:qFormat/>
    <w:pPr>
      <w:ind w:left="470" w:hanging="360"/>
    </w:pPr>
  </w:style>
  <w:style w:type="paragraph" w:customStyle="1" w:styleId="TableParagraph">
    <w:name w:val="Table Paragraph"/>
    <w:basedOn w:val="Normal"/>
    <w:uiPriority w:val="1"/>
    <w:qFormat/>
    <w:pPr>
      <w:spacing w:before="129"/>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data.gov.au/datase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dspstudy.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alex.collie@monash.ed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13346</Words>
  <Characters>76076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89244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Collie</dc:creator>
  <cp:lastModifiedBy>Alex Collie</cp:lastModifiedBy>
  <cp:revision>2</cp:revision>
  <dcterms:created xsi:type="dcterms:W3CDTF">2019-09-18T04:24:00Z</dcterms:created>
  <dcterms:modified xsi:type="dcterms:W3CDTF">2019-09-18T04:24:00Z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2019-09-06T00:00:00Z</vt:filetime>
  </property>
  <property fmtid="{D5CDD505-2E9C-101B-9397-08002B2CF9AE}" pid="3" name="Creator">
    <vt:lpwstr>Adobe InDesign 14.0 (Macintosh)</vt:lpwstr>
  </property>
  <property fmtid="{D5CDD505-2E9C-101B-9397-08002B2CF9AE}" pid="4" name="LastSaved">
    <vt:filetime>2019-09-11T00:00:00Z</vt:filetime>
  </property>
</Properties>
</file>